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92" w:rsidRPr="00AA4879" w:rsidRDefault="00C55F92" w:rsidP="00AA4879">
      <w:pPr>
        <w:bidi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AA487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المحاضرة (</w:t>
      </w:r>
      <w:r w:rsidRPr="00AA487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1</w:t>
      </w:r>
      <w:r w:rsidR="00AA4879" w:rsidRPr="00AA487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2</w:t>
      </w:r>
      <w:r w:rsidRPr="00AA487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): </w:t>
      </w:r>
      <w:r w:rsidRPr="00AA4879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معايير النشر الأكاديمي للمخطوطات  </w:t>
      </w:r>
    </w:p>
    <w:p w:rsidR="00AA4879" w:rsidRDefault="00AA4879" w:rsidP="00B961AB">
      <w:pPr>
        <w:tabs>
          <w:tab w:val="right" w:pos="9072"/>
        </w:tabs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AA4879">
        <w:rPr>
          <w:rFonts w:ascii="Sakkal Majalla" w:hAnsi="Sakkal Majalla" w:cs="Sakkal Majalla"/>
          <w:sz w:val="28"/>
          <w:szCs w:val="28"/>
          <w:lang w:bidi="ar-DZ"/>
        </w:rPr>
        <w:t xml:space="preserve">       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أهداف المحاضرة : أن يتعرّف الطالب الباحث المحقّق على معايير النشر الأكاديمي الخاصة بالمخطوط المُحَقّق.</w:t>
      </w:r>
    </w:p>
    <w:p w:rsidR="00AA4879" w:rsidRPr="00AA4879" w:rsidRDefault="00AA4879" w:rsidP="00AA4879">
      <w:pPr>
        <w:tabs>
          <w:tab w:val="right" w:pos="907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B961AB" w:rsidRPr="00AA4879" w:rsidRDefault="00AA4879" w:rsidP="00AA4879">
      <w:pPr>
        <w:tabs>
          <w:tab w:val="right" w:pos="907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بعد أن 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نهي الطالب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الباحث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المحق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ق لتحقيقه يتقد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م إلى إدارة الجامعة بطلب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ِ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الموافقة على طبع مخطوطه المحق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ق(بحثه)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ويأخذ قبل ذلك الموافقة من المشرف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وإدارة الجامعة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وبعد أخذ الموافقة يت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ه إلى اختيار مك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تب تجاري لطباعة الأبحاث الجامعي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ّة،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فيتعاقد معه على طبعه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وفق شروط تزو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دها به إدارة الجامعة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حسب المواصفات الأخيرة لطباعة الحاسوب منها: حجم الورق(21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30)، ويمسى(</w:t>
      </w:r>
      <w:r w:rsidR="00B961AB" w:rsidRPr="00AA4879">
        <w:rPr>
          <w:rFonts w:ascii="Sakkal Majalla" w:hAnsi="Sakkal Majalla" w:cs="Sakkal Majalla"/>
          <w:sz w:val="28"/>
          <w:szCs w:val="28"/>
          <w:lang w:bidi="ar-DZ"/>
        </w:rPr>
        <w:t>A4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)/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حجم الحرف(18)للمتن و(16)للهامش/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ح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جم الصفحة المطبوعة(15 25)سنتيم/عدد الأسطر في الصفحة الواحدة: من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25 إلى 27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سطر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ا/عدد الكلمات في السطر الواحد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من 13 إلى 15 كلمة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/عدد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الصفحات في البحث(لطل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اب الدكتوراه من 300 إلى 500صفحة)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>
        <w:rPr>
          <w:rStyle w:val="Appelnotedebasdep"/>
          <w:rFonts w:ascii="Sakkal Majalla" w:hAnsi="Sakkal Majalla" w:cs="Sakkal Majalla"/>
          <w:sz w:val="28"/>
          <w:szCs w:val="28"/>
          <w:rtl/>
          <w:lang w:bidi="ar-DZ"/>
        </w:rPr>
        <w:footnoteReference w:id="2"/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.19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كما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يجب على الطالب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الباحث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المحق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ق أن يت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فق مع مكتب الطباعة على تنفيذ والتقي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د بالشروط التي أقر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تها إدارة الجامعة لطبع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حث تمام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>
        <w:rPr>
          <w:rStyle w:val="Appelnotedebasdep"/>
          <w:rFonts w:ascii="Sakkal Majalla" w:hAnsi="Sakkal Majalla" w:cs="Sakkal Majalla"/>
          <w:sz w:val="28"/>
          <w:szCs w:val="28"/>
          <w:rtl/>
          <w:lang w:bidi="ar-DZ"/>
        </w:rPr>
        <w:footnoteReference w:id="3"/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194</w:t>
      </w:r>
    </w:p>
    <w:p w:rsidR="00B961AB" w:rsidRPr="00AA4879" w:rsidRDefault="00B961AB" w:rsidP="00B961AB">
      <w:pPr>
        <w:tabs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A487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تصحيح البحث:</w:t>
      </w:r>
    </w:p>
    <w:p w:rsidR="00B961AB" w:rsidRPr="00AA4879" w:rsidRDefault="00AA4879" w:rsidP="00B961AB">
      <w:pPr>
        <w:tabs>
          <w:tab w:val="right" w:pos="907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إن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تصحيح البحث يعني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قراءة متأني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ة والإشارة بقلم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ٍ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أحمر إلى كل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خطأ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طبعي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وقع فيه الطابع، فيشير إليه بإحاطته بدائرة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ثم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يسحب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خطأ منه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لا إلى هامش الصفحة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حيث يكتب تصويبه، والآن صار الأمر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سهل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ا لأن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الحاسوب يسه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ل عملي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ة التصحيح والمسح والاستبدال، وعلى المحق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ق أن يكتب بحثه بخط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ٍّ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واضح متسلسل، و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بعد الفراغ من القراءة والتصحيح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ت يسل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م للطابع 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سخه مص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ح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ّح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لكي يطبعها مجد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َّ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ً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وهذا يسم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ى التصحيح الأو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ل، ويمكن أن يكون ثاني وثالث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>
        <w:rPr>
          <w:rStyle w:val="Appelnotedebasdep"/>
          <w:rFonts w:ascii="Sakkal Majalla" w:hAnsi="Sakkal Majalla" w:cs="Sakkal Majalla"/>
          <w:sz w:val="28"/>
          <w:szCs w:val="28"/>
          <w:rtl/>
          <w:lang w:bidi="ar-DZ"/>
        </w:rPr>
        <w:footnoteReference w:id="4"/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194</w:t>
      </w:r>
    </w:p>
    <w:p w:rsidR="00B961AB" w:rsidRPr="00AA4879" w:rsidRDefault="00B961AB" w:rsidP="00B961AB">
      <w:pPr>
        <w:tabs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A487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وضع الفهارس الفنية:</w:t>
      </w:r>
    </w:p>
    <w:p w:rsidR="00B961AB" w:rsidRPr="00AA4879" w:rsidRDefault="00AA4879" w:rsidP="00B961AB">
      <w:pPr>
        <w:tabs>
          <w:tab w:val="right" w:pos="907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تكمن 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أهم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تها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الآتي، ف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بعد الفراغ من كتابة وطبع البحث يضع الطالب الباحث المحق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ق الفهارس الفن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ة حت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ى يحو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ل القارئ إلى أرقام الصفحات المطبوعة الثابتة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وتوضع الفهارس في نهاية البحث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>سه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ِّ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ل على القار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مهم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ة التفتيش داخل البح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ث(</w:t>
      </w:r>
      <w:r>
        <w:rPr>
          <w:rStyle w:val="Appelnotedebasdep"/>
          <w:rFonts w:ascii="Sakkal Majalla" w:hAnsi="Sakkal Majalla" w:cs="Sakkal Majalla"/>
          <w:sz w:val="28"/>
          <w:szCs w:val="28"/>
          <w:rtl/>
          <w:lang w:bidi="ar-DZ"/>
        </w:rPr>
        <w:footnoteReference w:id="5"/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B961AB"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195</w:t>
      </w:r>
    </w:p>
    <w:p w:rsidR="00B961AB" w:rsidRPr="00AA4879" w:rsidRDefault="00B961AB" w:rsidP="00B961AB">
      <w:pPr>
        <w:tabs>
          <w:tab w:val="right" w:pos="907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AA487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ث</w:t>
      </w:r>
      <w:r w:rsidR="00AA487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َ</w:t>
      </w:r>
      <w:r w:rsidRPr="00AA487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</w:t>
      </w:r>
      <w:r w:rsidR="00AA487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ْ</w:t>
      </w:r>
      <w:r w:rsidRPr="00AA487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</w:t>
      </w:r>
      <w:r w:rsidR="00AA487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ُ</w:t>
      </w:r>
      <w:r w:rsidRPr="00AA487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المصادر والمراجع</w:t>
      </w:r>
      <w:r w:rsidR="00AA4879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AA4879">
        <w:rPr>
          <w:rStyle w:val="Appelnotedebasdep"/>
          <w:rFonts w:ascii="Sakkal Majalla" w:hAnsi="Sakkal Majalla" w:cs="Sakkal Majalla"/>
          <w:sz w:val="28"/>
          <w:szCs w:val="28"/>
          <w:rtl/>
          <w:lang w:bidi="ar-DZ"/>
        </w:rPr>
        <w:footnoteReference w:id="6"/>
      </w:r>
      <w:r w:rsidR="00AA4879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199</w:t>
      </w:r>
    </w:p>
    <w:p w:rsidR="00B961AB" w:rsidRPr="00AA4879" w:rsidRDefault="00B961AB" w:rsidP="00B961AB">
      <w:pPr>
        <w:tabs>
          <w:tab w:val="right" w:pos="907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AA487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فهرس المحتويات</w:t>
      </w:r>
      <w:r w:rsidR="00AA487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يشمل جميع العناوين البحث الرئيسي</w:t>
      </w:r>
      <w:r w:rsidR="00AA4879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ة</w:t>
      </w:r>
      <w:r w:rsidR="00AA4879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كتب</w:t>
      </w:r>
      <w:r w:rsidR="00AA4879">
        <w:rPr>
          <w:rFonts w:ascii="Sakkal Majalla" w:hAnsi="Sakkal Majalla" w:cs="Sakkal Majalla" w:hint="cs"/>
          <w:sz w:val="28"/>
          <w:szCs w:val="28"/>
          <w:rtl/>
          <w:lang w:bidi="ar-DZ"/>
        </w:rPr>
        <w:t>ٍ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وأبواب</w:t>
      </w:r>
      <w:r w:rsidR="00AA4879">
        <w:rPr>
          <w:rFonts w:ascii="Sakkal Majalla" w:hAnsi="Sakkal Majalla" w:cs="Sakkal Majalla" w:hint="cs"/>
          <w:sz w:val="28"/>
          <w:szCs w:val="28"/>
          <w:rtl/>
          <w:lang w:bidi="ar-DZ"/>
        </w:rPr>
        <w:t>ٍ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وفصول</w:t>
      </w:r>
      <w:r w:rsidR="00AA4879">
        <w:rPr>
          <w:rFonts w:ascii="Sakkal Majalla" w:hAnsi="Sakkal Majalla" w:cs="Sakkal Majalla" w:hint="cs"/>
          <w:sz w:val="28"/>
          <w:szCs w:val="28"/>
          <w:rtl/>
          <w:lang w:bidi="ar-DZ"/>
        </w:rPr>
        <w:t>ٍ</w:t>
      </w:r>
      <w:r w:rsidR="00FF401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ومباحث ووو..وي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فضِّ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ل بعض الباحثين وضع الفهرس في بداية البحث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بعد المقد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مة ليكون المطالع على علم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ٍ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بمحتوياته قبل قراءته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بينما يفض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ل البعض الآخر وضعه في نهاية البحث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وهو المفض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ل لدى الأغلبي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ة</w:t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="00FF4018">
        <w:rPr>
          <w:rStyle w:val="Appelnotedebasdep"/>
          <w:rFonts w:ascii="Sakkal Majalla" w:hAnsi="Sakkal Majalla" w:cs="Sakkal Majalla"/>
          <w:sz w:val="28"/>
          <w:szCs w:val="28"/>
          <w:rtl/>
          <w:lang w:bidi="ar-DZ"/>
        </w:rPr>
        <w:footnoteReference w:id="7"/>
      </w:r>
      <w:r w:rsidR="00FF4018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200</w:t>
      </w:r>
    </w:p>
    <w:p w:rsidR="00B961AB" w:rsidRPr="00AA4879" w:rsidRDefault="00B961AB" w:rsidP="00B961AB">
      <w:pPr>
        <w:tabs>
          <w:tab w:val="right" w:pos="907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بعد الطبع ووضع الفهارس تأتي عملية تجليد البحث</w:t>
      </w:r>
    </w:p>
    <w:p w:rsidR="00B961AB" w:rsidRPr="00AA4879" w:rsidRDefault="00B961AB" w:rsidP="00B961AB">
      <w:pPr>
        <w:tabs>
          <w:tab w:val="right" w:pos="9072"/>
        </w:tabs>
        <w:bidi/>
        <w:jc w:val="both"/>
        <w:rPr>
          <w:rFonts w:ascii="Sakkal Majalla" w:hAnsi="Sakkal Majalla" w:cs="Sakkal Majalla"/>
          <w:rtl/>
          <w:lang w:bidi="ar-DZ"/>
        </w:rPr>
      </w:pPr>
      <w:r w:rsidRPr="00AA4879">
        <w:rPr>
          <w:rFonts w:ascii="Sakkal Majalla" w:hAnsi="Sakkal Majalla" w:cs="Sakkal Majalla"/>
          <w:sz w:val="28"/>
          <w:szCs w:val="28"/>
          <w:rtl/>
          <w:lang w:bidi="ar-DZ"/>
        </w:rPr>
        <w:t>د.</w:t>
      </w:r>
      <w:r w:rsidRPr="00AA4879">
        <w:rPr>
          <w:rFonts w:ascii="Sakkal Majalla" w:hAnsi="Sakkal Majalla" w:cs="Sakkal Majalla"/>
          <w:rtl/>
          <w:lang w:bidi="ar-DZ"/>
        </w:rPr>
        <w:t xml:space="preserve">يوسف المرعشلي، أصول كتابة البحث العلمي وتحقيق المخطوطات، ط1، (1424ه/2003م)، دار المعرفة للطباعة والنشر، بيروت، لبنان، </w:t>
      </w:r>
    </w:p>
    <w:p w:rsidR="0040622A" w:rsidRDefault="0098797D" w:rsidP="00C55F92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ننننن</w:t>
      </w:r>
    </w:p>
    <w:p w:rsidR="0098797D" w:rsidRPr="0025547F" w:rsidRDefault="0098797D" w:rsidP="0098797D">
      <w:pPr>
        <w:bidi/>
        <w:ind w:right="709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المحاضرة (</w:t>
      </w:r>
      <w:r w:rsidRPr="002554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12</w:t>
      </w:r>
      <w:r w:rsidRPr="002554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): </w:t>
      </w:r>
      <w:r w:rsidRPr="0025547F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معايير النشر الأكاديمي للمخطوطات  </w:t>
      </w:r>
    </w:p>
    <w:p w:rsidR="0098797D" w:rsidRPr="0025547F" w:rsidRDefault="0098797D" w:rsidP="0098797D">
      <w:pPr>
        <w:pStyle w:val="Notedebasdepage"/>
        <w:bidi/>
        <w:spacing w:line="240" w:lineRule="auto"/>
        <w:ind w:left="425" w:right="709" w:firstLine="565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مراجع: </w:t>
      </w:r>
    </w:p>
    <w:p w:rsidR="0098797D" w:rsidRPr="0025547F" w:rsidRDefault="0098797D" w:rsidP="0098797D">
      <w:pPr>
        <w:pStyle w:val="Notedebasdepage"/>
        <w:bidi/>
        <w:spacing w:line="240" w:lineRule="auto"/>
        <w:ind w:left="425" w:right="709" w:firstLine="56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بشّار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عوّاد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معروف،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محاضرات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في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مناهج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تحقيق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المخطوطات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العربيّة،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الأمين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العام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للرابطة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العالميّة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لعلماء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الحديث،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الإصدار</w:t>
      </w:r>
      <w:r w:rsidRPr="0025547F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25547F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الأوّل</w:t>
      </w: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98797D" w:rsidRPr="0025547F" w:rsidRDefault="0098797D" w:rsidP="0098797D">
      <w:pPr>
        <w:bidi/>
        <w:ind w:left="425" w:right="709" w:firstLine="56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الدكتور حس</w:t>
      </w:r>
      <w:r w:rsidRPr="0025547F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ان خلاق، مناهج الفكر والبحث التاريخي والعلوم المساعدة وتحقيق المخطوطات بين النظرية والتطبيق</w:t>
      </w:r>
      <w:r w:rsidRPr="0025547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98797D" w:rsidRPr="0025547F" w:rsidRDefault="0098797D" w:rsidP="0098797D">
      <w:pPr>
        <w:bidi/>
        <w:ind w:left="425" w:right="709" w:firstLine="565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25547F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الدكتور رمضان عبد التواب، مناهج تحقيق التراث بين القدامى والمحدثين، ط1، الناشر مكتبة الخانجي بالقاهرة، (1406ه/1985م).</w:t>
      </w:r>
    </w:p>
    <w:p w:rsidR="0098797D" w:rsidRPr="0025547F" w:rsidRDefault="0098797D" w:rsidP="0098797D">
      <w:pPr>
        <w:tabs>
          <w:tab w:val="right" w:pos="9072"/>
        </w:tabs>
        <w:bidi/>
        <w:ind w:left="425" w:right="709" w:firstLine="56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مهدي فضل الله، أصول كتابة البحث وقواعد التحقيق، ط1، دار الطليعة للطباعة والنشر، بيروت، لبنان، (أي</w:t>
      </w:r>
      <w:r w:rsidRPr="0025547F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ار\مايو1998م).</w:t>
      </w:r>
    </w:p>
    <w:p w:rsidR="0098797D" w:rsidRPr="0025547F" w:rsidRDefault="0098797D" w:rsidP="0098797D">
      <w:pPr>
        <w:tabs>
          <w:tab w:val="right" w:pos="9072"/>
        </w:tabs>
        <w:bidi/>
        <w:ind w:right="70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5547F">
        <w:rPr>
          <w:rFonts w:ascii="Sakkal Majalla" w:hAnsi="Sakkal Majalla" w:cs="Sakkal Majalla"/>
          <w:sz w:val="28"/>
          <w:szCs w:val="28"/>
          <w:rtl/>
          <w:lang w:bidi="ar-DZ"/>
        </w:rPr>
        <w:t>يوسف المرعشلي، أصول كتابة البحث العلمي وتحقيق المخطوطات، ط1، (1424ه/2003م)، دار المعرفة للطباعة والنشر، بيروت، لبنان</w:t>
      </w:r>
      <w:r w:rsidRPr="0025547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98797D" w:rsidRPr="0025547F" w:rsidRDefault="0098797D" w:rsidP="0098797D">
      <w:pPr>
        <w:tabs>
          <w:tab w:val="right" w:pos="9072"/>
        </w:tabs>
        <w:bidi/>
        <w:ind w:left="425" w:firstLine="56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98797D" w:rsidRPr="00AA4879" w:rsidRDefault="0098797D" w:rsidP="0098797D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98797D" w:rsidRPr="00AA4879" w:rsidSect="0036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24A" w:rsidRDefault="0052424A" w:rsidP="0038158A">
      <w:r>
        <w:separator/>
      </w:r>
    </w:p>
  </w:endnote>
  <w:endnote w:type="continuationSeparator" w:id="1">
    <w:p w:rsidR="0052424A" w:rsidRDefault="0052424A" w:rsidP="00381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24A" w:rsidRDefault="0052424A" w:rsidP="00CA70C3">
      <w:pPr>
        <w:bidi/>
      </w:pPr>
      <w:r>
        <w:separator/>
      </w:r>
    </w:p>
  </w:footnote>
  <w:footnote w:type="continuationSeparator" w:id="1">
    <w:p w:rsidR="0052424A" w:rsidRDefault="0052424A" w:rsidP="0038158A">
      <w:r>
        <w:continuationSeparator/>
      </w:r>
    </w:p>
  </w:footnote>
  <w:footnote w:id="2">
    <w:p w:rsidR="00AA4879" w:rsidRDefault="00AA4879" w:rsidP="00AA4879">
      <w:pPr>
        <w:tabs>
          <w:tab w:val="right" w:pos="9072"/>
        </w:tabs>
        <w:bidi/>
        <w:jc w:val="both"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Pr="00AA4879">
        <w:rPr>
          <w:rFonts w:ascii="Sakkal Majalla" w:hAnsi="Sakkal Majalla" w:cs="Sakkal Majalla"/>
          <w:rtl/>
          <w:lang w:bidi="ar-DZ"/>
        </w:rPr>
        <w:t>يوسف المرعشلي، أصول كتابة البحث العلمي وتحقيق المخطوطات، ط1، (1424ه/2003م)، دار المعرفة للطباعة والنشر، بيروت، لبنان،</w:t>
      </w:r>
      <w:r>
        <w:rPr>
          <w:rFonts w:ascii="Sakkal Majalla" w:hAnsi="Sakkal Majalla" w:cs="Sakkal Majalla" w:hint="cs"/>
          <w:rtl/>
          <w:lang w:bidi="ar-DZ"/>
        </w:rPr>
        <w:t xml:space="preserve"> ص154 .</w:t>
      </w:r>
      <w:r w:rsidRPr="00AA4879">
        <w:rPr>
          <w:rFonts w:ascii="Sakkal Majalla" w:hAnsi="Sakkal Majalla" w:cs="Sakkal Majalla"/>
          <w:rtl/>
          <w:lang w:bidi="ar-DZ"/>
        </w:rPr>
        <w:t xml:space="preserve"> </w:t>
      </w:r>
    </w:p>
  </w:footnote>
  <w:footnote w:id="3">
    <w:p w:rsidR="00AA4879" w:rsidRDefault="00AA4879" w:rsidP="00AA4879">
      <w:pPr>
        <w:tabs>
          <w:tab w:val="right" w:pos="9072"/>
        </w:tabs>
        <w:bidi/>
        <w:jc w:val="both"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Pr="00AA4879">
        <w:rPr>
          <w:rFonts w:ascii="Sakkal Majalla" w:hAnsi="Sakkal Majalla" w:cs="Sakkal Majalla"/>
          <w:rtl/>
          <w:lang w:bidi="ar-DZ"/>
        </w:rPr>
        <w:t xml:space="preserve">يوسف المرعشلي، أصول كتابة البحث العلمي وتحقيق المخطوطات، ط1، (1424ه/2003م)، دار المعرفة للطباعة والنشر، بيروت، لبنان، </w:t>
      </w:r>
      <w:r>
        <w:rPr>
          <w:rFonts w:ascii="Sakkal Majalla" w:hAnsi="Sakkal Majalla" w:cs="Sakkal Majalla" w:hint="cs"/>
          <w:rtl/>
          <w:lang w:bidi="ar-DZ"/>
        </w:rPr>
        <w:t>ص154 .</w:t>
      </w:r>
    </w:p>
  </w:footnote>
  <w:footnote w:id="4">
    <w:p w:rsidR="00AA4879" w:rsidRDefault="00AA4879" w:rsidP="00AA4879">
      <w:pPr>
        <w:tabs>
          <w:tab w:val="right" w:pos="9072"/>
        </w:tabs>
        <w:bidi/>
        <w:jc w:val="both"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Pr="00AA4879">
        <w:rPr>
          <w:rFonts w:ascii="Sakkal Majalla" w:hAnsi="Sakkal Majalla" w:cs="Sakkal Majalla"/>
          <w:rtl/>
          <w:lang w:bidi="ar-DZ"/>
        </w:rPr>
        <w:t xml:space="preserve">يوسف المرعشلي، أصول كتابة البحث العلمي وتحقيق المخطوطات، ط1، (1424ه/2003م)، دار المعرفة للطباعة والنشر، بيروت، لبنان، </w:t>
      </w:r>
      <w:r>
        <w:rPr>
          <w:rFonts w:ascii="Sakkal Majalla" w:hAnsi="Sakkal Majalla" w:cs="Sakkal Majalla" w:hint="cs"/>
          <w:rtl/>
          <w:lang w:bidi="ar-DZ"/>
        </w:rPr>
        <w:t>ص154 .</w:t>
      </w:r>
      <w:r>
        <w:rPr>
          <w:rFonts w:hint="cs"/>
          <w:rtl/>
          <w:lang w:bidi="ar-DZ"/>
        </w:rPr>
        <w:t xml:space="preserve"> </w:t>
      </w:r>
    </w:p>
  </w:footnote>
  <w:footnote w:id="5">
    <w:p w:rsidR="00AA4879" w:rsidRDefault="00AA4879" w:rsidP="00AA4879">
      <w:pPr>
        <w:tabs>
          <w:tab w:val="right" w:pos="9072"/>
        </w:tabs>
        <w:bidi/>
        <w:jc w:val="both"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Pr="00AA4879">
        <w:rPr>
          <w:rFonts w:ascii="Sakkal Majalla" w:hAnsi="Sakkal Majalla" w:cs="Sakkal Majalla"/>
          <w:rtl/>
          <w:lang w:bidi="ar-DZ"/>
        </w:rPr>
        <w:t xml:space="preserve">يوسف المرعشلي، أصول كتابة البحث العلمي وتحقيق المخطوطات، ط1، (1424ه/2003م)، دار المعرفة للطباعة والنشر، بيروت، لبنان، </w:t>
      </w:r>
      <w:r>
        <w:rPr>
          <w:rFonts w:ascii="Sakkal Majalla" w:hAnsi="Sakkal Majalla" w:cs="Sakkal Majalla" w:hint="cs"/>
          <w:rtl/>
          <w:lang w:bidi="ar-DZ"/>
        </w:rPr>
        <w:t>ص195 .</w:t>
      </w:r>
    </w:p>
  </w:footnote>
  <w:footnote w:id="6">
    <w:p w:rsidR="00AA4879" w:rsidRPr="00AA4879" w:rsidRDefault="00AA4879" w:rsidP="00FF4018">
      <w:pPr>
        <w:tabs>
          <w:tab w:val="right" w:pos="9072"/>
        </w:tabs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Pr="00AA4879">
        <w:rPr>
          <w:rFonts w:ascii="Sakkal Majalla" w:hAnsi="Sakkal Majalla" w:cs="Sakkal Majalla"/>
          <w:rtl/>
          <w:lang w:bidi="ar-DZ"/>
        </w:rPr>
        <w:t xml:space="preserve">يوسف المرعشلي، أصول كتابة البحث العلمي وتحقيق المخطوطات، ط1، (1424ه/2003م)، دار المعرفة للطباعة والنشر، بيروت، لبنان، </w:t>
      </w:r>
      <w:r>
        <w:rPr>
          <w:rFonts w:ascii="Sakkal Majalla" w:hAnsi="Sakkal Majalla" w:cs="Sakkal Majalla" w:hint="cs"/>
          <w:rtl/>
          <w:lang w:bidi="ar-DZ"/>
        </w:rPr>
        <w:t>ص</w:t>
      </w:r>
      <w:r w:rsidR="00FF4018">
        <w:rPr>
          <w:rFonts w:ascii="Sakkal Majalla" w:hAnsi="Sakkal Majalla" w:cs="Sakkal Majalla" w:hint="cs"/>
          <w:rtl/>
          <w:lang w:bidi="ar-DZ"/>
        </w:rPr>
        <w:t>199</w:t>
      </w:r>
      <w:r>
        <w:rPr>
          <w:rFonts w:ascii="Sakkal Majalla" w:hAnsi="Sakkal Majalla" w:cs="Sakkal Majalla" w:hint="cs"/>
          <w:rtl/>
          <w:lang w:bidi="ar-DZ"/>
        </w:rPr>
        <w:t>.</w:t>
      </w:r>
    </w:p>
    <w:p w:rsidR="00AA4879" w:rsidRDefault="00AA4879" w:rsidP="00AA4879">
      <w:pPr>
        <w:pStyle w:val="Notedebasdepage"/>
        <w:bidi/>
        <w:jc w:val="both"/>
        <w:rPr>
          <w:rFonts w:hint="cs"/>
          <w:rtl/>
          <w:lang w:bidi="ar-DZ"/>
        </w:rPr>
      </w:pPr>
    </w:p>
  </w:footnote>
  <w:footnote w:id="7">
    <w:p w:rsidR="00FF4018" w:rsidRPr="00AA4879" w:rsidRDefault="00FF4018" w:rsidP="00FF4018">
      <w:pPr>
        <w:tabs>
          <w:tab w:val="right" w:pos="9072"/>
        </w:tabs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AA4879">
        <w:rPr>
          <w:rFonts w:ascii="Sakkal Majalla" w:hAnsi="Sakkal Majalla" w:cs="Sakkal Majalla"/>
          <w:rtl/>
          <w:lang w:bidi="ar-DZ"/>
        </w:rPr>
        <w:t xml:space="preserve">يوسف المرعشلي، أصول كتابة البحث العلمي وتحقيق المخطوطات، ط1، (1424ه/2003م)، دار المعرفة للطباعة والنشر، بيروت، لبنان، </w:t>
      </w:r>
      <w:r>
        <w:rPr>
          <w:rFonts w:ascii="Sakkal Majalla" w:hAnsi="Sakkal Majalla" w:cs="Sakkal Majalla" w:hint="cs"/>
          <w:rtl/>
          <w:lang w:bidi="ar-DZ"/>
        </w:rPr>
        <w:t>ص200 .</w:t>
      </w:r>
    </w:p>
    <w:p w:rsidR="00FF4018" w:rsidRDefault="00FF4018" w:rsidP="00FF4018">
      <w:pPr>
        <w:pStyle w:val="Notedebasdepage"/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051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00E8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3B0A48"/>
    <w:rsid w:val="0040622A"/>
    <w:rsid w:val="004263D4"/>
    <w:rsid w:val="00442175"/>
    <w:rsid w:val="004439A3"/>
    <w:rsid w:val="00447E03"/>
    <w:rsid w:val="0045072C"/>
    <w:rsid w:val="004A6624"/>
    <w:rsid w:val="004D300E"/>
    <w:rsid w:val="004E2CFA"/>
    <w:rsid w:val="0052424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90151"/>
    <w:rsid w:val="006B22BC"/>
    <w:rsid w:val="006F0B61"/>
    <w:rsid w:val="0070622A"/>
    <w:rsid w:val="00716CF3"/>
    <w:rsid w:val="0072684E"/>
    <w:rsid w:val="007611ED"/>
    <w:rsid w:val="00771165"/>
    <w:rsid w:val="007C2901"/>
    <w:rsid w:val="007D54E5"/>
    <w:rsid w:val="00816272"/>
    <w:rsid w:val="008424F0"/>
    <w:rsid w:val="0085052C"/>
    <w:rsid w:val="0086145E"/>
    <w:rsid w:val="00882214"/>
    <w:rsid w:val="008A1945"/>
    <w:rsid w:val="008B175D"/>
    <w:rsid w:val="008C33D9"/>
    <w:rsid w:val="008E2E5F"/>
    <w:rsid w:val="00901E4C"/>
    <w:rsid w:val="00920069"/>
    <w:rsid w:val="0098615C"/>
    <w:rsid w:val="0098797D"/>
    <w:rsid w:val="009C38E3"/>
    <w:rsid w:val="009C6D8B"/>
    <w:rsid w:val="00A33948"/>
    <w:rsid w:val="00A50BD0"/>
    <w:rsid w:val="00A55A03"/>
    <w:rsid w:val="00A56F06"/>
    <w:rsid w:val="00A77E56"/>
    <w:rsid w:val="00A81DB0"/>
    <w:rsid w:val="00AA4472"/>
    <w:rsid w:val="00AA4879"/>
    <w:rsid w:val="00AD6BDB"/>
    <w:rsid w:val="00AD7B7F"/>
    <w:rsid w:val="00AE0009"/>
    <w:rsid w:val="00AF7995"/>
    <w:rsid w:val="00B070F7"/>
    <w:rsid w:val="00B07711"/>
    <w:rsid w:val="00B40E96"/>
    <w:rsid w:val="00B961AB"/>
    <w:rsid w:val="00BB00F6"/>
    <w:rsid w:val="00BC4ECF"/>
    <w:rsid w:val="00BD307E"/>
    <w:rsid w:val="00BE1AD3"/>
    <w:rsid w:val="00C20ECE"/>
    <w:rsid w:val="00C2677D"/>
    <w:rsid w:val="00C35B72"/>
    <w:rsid w:val="00C434FA"/>
    <w:rsid w:val="00C55F92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145F9"/>
    <w:rsid w:val="00E258A1"/>
    <w:rsid w:val="00E37679"/>
    <w:rsid w:val="00E50948"/>
    <w:rsid w:val="00E5325A"/>
    <w:rsid w:val="00E53896"/>
    <w:rsid w:val="00E56824"/>
    <w:rsid w:val="00E624DC"/>
    <w:rsid w:val="00E824F3"/>
    <w:rsid w:val="00E87B08"/>
    <w:rsid w:val="00ED36D6"/>
    <w:rsid w:val="00EE5268"/>
    <w:rsid w:val="00EF646E"/>
    <w:rsid w:val="00F01BEB"/>
    <w:rsid w:val="00F658DD"/>
    <w:rsid w:val="00F67C1B"/>
    <w:rsid w:val="00FA31C2"/>
    <w:rsid w:val="00FB3B1D"/>
    <w:rsid w:val="00FE39DD"/>
    <w:rsid w:val="00FE7B9E"/>
    <w:rsid w:val="00FF4018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F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line="276" w:lineRule="auto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line="271" w:lineRule="auto"/>
      <w:outlineLvl w:val="1"/>
    </w:pPr>
    <w:rPr>
      <w:rFonts w:ascii="Cambria" w:eastAsia="Times New Roman" w:hAnsi="Cambria"/>
      <w:smallCap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line="271" w:lineRule="auto"/>
      <w:outlineLvl w:val="3"/>
    </w:pPr>
    <w:rPr>
      <w:rFonts w:ascii="Cambria" w:eastAsia="Times New Roman" w:hAnsi="Cambria"/>
      <w:b/>
      <w:bCs/>
      <w:spacing w:val="5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line="271" w:lineRule="auto"/>
      <w:outlineLvl w:val="4"/>
    </w:pPr>
    <w:rPr>
      <w:rFonts w:ascii="Cambria" w:eastAsia="Times New Roman" w:hAnsi="Cambria"/>
      <w:i/>
      <w:iCs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line="271" w:lineRule="auto"/>
      <w:outlineLvl w:val="5"/>
    </w:pPr>
    <w:rPr>
      <w:rFonts w:ascii="Cambria" w:eastAsia="Times New Roman" w:hAnsi="Cambria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outlineLvl w:val="7"/>
    </w:pPr>
    <w:rPr>
      <w:rFonts w:ascii="Cambria" w:eastAsia="Times New Roman" w:hAnsi="Cambria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after="200" w:line="252" w:lineRule="auto"/>
    </w:pPr>
    <w:rPr>
      <w:rFonts w:ascii="Cambria" w:eastAsia="Times New Roman" w:hAnsi="Cambria"/>
      <w:sz w:val="20"/>
      <w:szCs w:val="20"/>
      <w:lang w:val="en-US" w:eastAsia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/>
      <w:contextualSpacing/>
    </w:pPr>
    <w:rPr>
      <w:rFonts w:ascii="Cambria" w:eastAsia="Times New Roman" w:hAnsi="Cambria"/>
      <w:smallCaps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pPr>
      <w:spacing w:after="200" w:line="276" w:lineRule="auto"/>
    </w:pPr>
    <w:rPr>
      <w:rFonts w:ascii="Cambria" w:eastAsia="Times New Roman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pPr>
      <w:spacing w:after="200" w:line="276" w:lineRule="auto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jc w:val="right"/>
    </w:pPr>
    <w:rPr>
      <w:rFonts w:eastAsia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20FD-3732-47E4-A679-46ACE04E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23</cp:revision>
  <dcterms:created xsi:type="dcterms:W3CDTF">2024-12-01T10:19:00Z</dcterms:created>
  <dcterms:modified xsi:type="dcterms:W3CDTF">2026-04-13T15:21:00Z</dcterms:modified>
</cp:coreProperties>
</file>