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DBDAF" w14:textId="66CA8F1A" w:rsidR="00823EAE" w:rsidRDefault="00823EAE" w:rsidP="00823EAE">
      <w:pPr>
        <w:bidi/>
        <w:jc w:val="center"/>
        <w:rPr>
          <w:rFonts w:ascii="Traditional Arabic" w:hAnsi="Traditional Arabic" w:cs="Traditional Arabic"/>
          <w:b/>
          <w:bCs/>
          <w:sz w:val="40"/>
          <w:szCs w:val="40"/>
          <w:rtl/>
          <w:lang w:bidi="ar-DZ"/>
        </w:rPr>
      </w:pPr>
      <w:r w:rsidRPr="00823EAE">
        <w:rPr>
          <w:rFonts w:ascii="Traditional Arabic" w:hAnsi="Traditional Arabic" w:cs="Traditional Arabic" w:hint="cs"/>
          <w:b/>
          <w:bCs/>
          <w:sz w:val="40"/>
          <w:szCs w:val="40"/>
          <w:rtl/>
          <w:lang w:bidi="ar-DZ"/>
        </w:rPr>
        <w:t>النقد الجديد</w:t>
      </w:r>
    </w:p>
    <w:p w14:paraId="11CF80F1" w14:textId="2CFDEC54" w:rsidR="00823EAE" w:rsidRPr="000C36C7" w:rsidRDefault="00823EAE" w:rsidP="00823EAE">
      <w:pPr>
        <w:bidi/>
        <w:jc w:val="center"/>
        <w:rPr>
          <w:rFonts w:ascii="Traditional Arabic" w:hAnsi="Traditional Arabic" w:cs="Traditional Arabic"/>
          <w:sz w:val="40"/>
          <w:szCs w:val="40"/>
          <w:rtl/>
          <w:lang w:bidi="ar-DZ"/>
        </w:rPr>
      </w:pPr>
      <w:proofErr w:type="gramStart"/>
      <w:r>
        <w:rPr>
          <w:rFonts w:ascii="Traditional Arabic" w:hAnsi="Traditional Arabic" w:cs="Traditional Arabic" w:hint="cs"/>
          <w:b/>
          <w:bCs/>
          <w:sz w:val="40"/>
          <w:szCs w:val="40"/>
          <w:rtl/>
          <w:lang w:bidi="ar-DZ"/>
        </w:rPr>
        <w:t>(</w:t>
      </w:r>
      <w:r w:rsidRPr="00823EAE">
        <w:rPr>
          <w:rFonts w:ascii="Times New Roman" w:hAnsi="Times New Roman" w:cs="Times New Roman"/>
          <w:b/>
          <w:bCs/>
          <w:sz w:val="32"/>
          <w:szCs w:val="32"/>
          <w:rtl/>
          <w:lang w:bidi="ar-DZ"/>
        </w:rPr>
        <w:t xml:space="preserve"> </w:t>
      </w:r>
      <w:r w:rsidRPr="00823EAE">
        <w:rPr>
          <w:rFonts w:ascii="Times New Roman" w:hAnsi="Times New Roman" w:cs="Times New Roman"/>
          <w:b/>
          <w:bCs/>
          <w:sz w:val="32"/>
          <w:szCs w:val="32"/>
          <w:lang w:bidi="ar-DZ"/>
        </w:rPr>
        <w:t>Nouvelle</w:t>
      </w:r>
      <w:proofErr w:type="gramEnd"/>
      <w:r w:rsidRPr="00823EAE">
        <w:rPr>
          <w:rFonts w:ascii="Times New Roman" w:hAnsi="Times New Roman" w:cs="Times New Roman"/>
          <w:b/>
          <w:bCs/>
          <w:sz w:val="32"/>
          <w:szCs w:val="32"/>
          <w:lang w:bidi="ar-DZ"/>
        </w:rPr>
        <w:t xml:space="preserve"> Critique/ The New </w:t>
      </w:r>
      <w:proofErr w:type="spellStart"/>
      <w:r w:rsidRPr="00823EAE">
        <w:rPr>
          <w:rFonts w:ascii="Times New Roman" w:hAnsi="Times New Roman" w:cs="Times New Roman"/>
          <w:b/>
          <w:bCs/>
          <w:sz w:val="32"/>
          <w:szCs w:val="32"/>
          <w:lang w:bidi="ar-DZ"/>
        </w:rPr>
        <w:t>Cr</w:t>
      </w:r>
      <w:r w:rsidR="001C7E37">
        <w:rPr>
          <w:rFonts w:ascii="Times New Roman" w:hAnsi="Times New Roman" w:cs="Times New Roman"/>
          <w:b/>
          <w:bCs/>
          <w:sz w:val="32"/>
          <w:szCs w:val="32"/>
          <w:lang w:bidi="ar-DZ"/>
        </w:rPr>
        <w:t>i</w:t>
      </w:r>
      <w:r w:rsidRPr="00823EAE">
        <w:rPr>
          <w:rFonts w:ascii="Times New Roman" w:hAnsi="Times New Roman" w:cs="Times New Roman"/>
          <w:b/>
          <w:bCs/>
          <w:sz w:val="32"/>
          <w:szCs w:val="32"/>
          <w:lang w:bidi="ar-DZ"/>
        </w:rPr>
        <w:t>ti</w:t>
      </w:r>
      <w:r w:rsidRPr="00823EAE">
        <w:rPr>
          <w:rFonts w:asciiTheme="majorBidi" w:hAnsiTheme="majorBidi" w:cstheme="majorBidi"/>
          <w:b/>
          <w:bCs/>
          <w:sz w:val="32"/>
          <w:szCs w:val="32"/>
          <w:lang w:bidi="ar-DZ"/>
        </w:rPr>
        <w:t>sm</w:t>
      </w:r>
      <w:proofErr w:type="spellEnd"/>
      <w:r>
        <w:rPr>
          <w:rFonts w:ascii="Traditional Arabic" w:hAnsi="Traditional Arabic" w:cs="Traditional Arabic" w:hint="cs"/>
          <w:b/>
          <w:bCs/>
          <w:sz w:val="40"/>
          <w:szCs w:val="40"/>
          <w:rtl/>
          <w:lang w:bidi="ar-DZ"/>
        </w:rPr>
        <w:t>)</w:t>
      </w:r>
    </w:p>
    <w:p w14:paraId="3CF07306" w14:textId="36DDB0EB" w:rsidR="001C7E37" w:rsidRDefault="001C7E37" w:rsidP="001C7E37">
      <w:pPr>
        <w:bidi/>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تمهيد:</w:t>
      </w:r>
    </w:p>
    <w:p w14:paraId="2E1E7A22" w14:textId="4FB54A24" w:rsidR="001C7E37" w:rsidRPr="00D64367" w:rsidRDefault="001C7E37" w:rsidP="001C7E37">
      <w:pPr>
        <w:bidi/>
        <w:jc w:val="both"/>
        <w:rPr>
          <w:rFonts w:ascii="Traditional Arabic" w:hAnsi="Traditional Arabic" w:cs="Traditional Arabic" w:hint="cs"/>
          <w:sz w:val="36"/>
          <w:szCs w:val="36"/>
          <w:rtl/>
          <w:lang w:bidi="ar-DZ"/>
        </w:rPr>
      </w:pPr>
      <w:r>
        <w:rPr>
          <w:rFonts w:ascii="Traditional Arabic" w:hAnsi="Traditional Arabic" w:cs="Traditional Arabic"/>
          <w:b/>
          <w:bCs/>
          <w:sz w:val="36"/>
          <w:szCs w:val="36"/>
          <w:rtl/>
          <w:lang w:bidi="ar-DZ"/>
        </w:rPr>
        <w:tab/>
      </w:r>
      <w:r w:rsidRPr="00D64367">
        <w:rPr>
          <w:rFonts w:ascii="Traditional Arabic" w:hAnsi="Traditional Arabic" w:cs="Traditional Arabic" w:hint="cs"/>
          <w:sz w:val="36"/>
          <w:szCs w:val="36"/>
          <w:rtl/>
          <w:lang w:bidi="ar-DZ"/>
        </w:rPr>
        <w:t>المتتبع للمنظومة النقدية الحديثة والمعاصرة يشهد زخما من التعدد المنهجي الذي يستلزم وجود تعدد</w:t>
      </w:r>
      <w:r w:rsidR="00D64367">
        <w:rPr>
          <w:rFonts w:ascii="Traditional Arabic" w:hAnsi="Traditional Arabic" w:cs="Traditional Arabic" w:hint="cs"/>
          <w:sz w:val="36"/>
          <w:szCs w:val="36"/>
          <w:rtl/>
          <w:lang w:bidi="ar-DZ"/>
        </w:rPr>
        <w:t xml:space="preserve">ا </w:t>
      </w:r>
      <w:r w:rsidRPr="00D64367">
        <w:rPr>
          <w:rFonts w:ascii="Traditional Arabic" w:hAnsi="Traditional Arabic" w:cs="Traditional Arabic" w:hint="cs"/>
          <w:sz w:val="36"/>
          <w:szCs w:val="36"/>
          <w:rtl/>
          <w:lang w:bidi="ar-DZ"/>
        </w:rPr>
        <w:t xml:space="preserve">في الرؤى النقدية </w:t>
      </w:r>
      <w:r w:rsidR="00D64367" w:rsidRPr="00D64367">
        <w:rPr>
          <w:rFonts w:ascii="Traditional Arabic" w:hAnsi="Traditional Arabic" w:cs="Traditional Arabic" w:hint="cs"/>
          <w:sz w:val="36"/>
          <w:szCs w:val="36"/>
          <w:rtl/>
          <w:lang w:bidi="ar-DZ"/>
        </w:rPr>
        <w:t>الموجهة للنص الأدبي الواحد،</w:t>
      </w:r>
      <w:r w:rsidR="00D64367">
        <w:rPr>
          <w:rFonts w:ascii="Traditional Arabic" w:hAnsi="Traditional Arabic" w:cs="Traditional Arabic" w:hint="cs"/>
          <w:sz w:val="36"/>
          <w:szCs w:val="36"/>
          <w:rtl/>
          <w:lang w:bidi="ar-DZ"/>
        </w:rPr>
        <w:t xml:space="preserve"> والنقد الجديد أو المدرسة الجديدة يمثل منهجا من المناهج النقدية النصية. فما المقصود بالنقد الجديد؟، وما هي أهم المقولات النقدية التي يقوم عليها هذا الاتجاه النقدي النصي؟، ومن هم أهم ممثليه في الوسطين النقديين الغربي </w:t>
      </w:r>
      <w:proofErr w:type="gramStart"/>
      <w:r w:rsidR="00D64367">
        <w:rPr>
          <w:rFonts w:ascii="Traditional Arabic" w:hAnsi="Traditional Arabic" w:cs="Traditional Arabic" w:hint="cs"/>
          <w:sz w:val="36"/>
          <w:szCs w:val="36"/>
          <w:rtl/>
          <w:lang w:bidi="ar-DZ"/>
        </w:rPr>
        <w:t>والعربي؟.</w:t>
      </w:r>
      <w:proofErr w:type="gramEnd"/>
      <w:r w:rsidR="00D64367">
        <w:rPr>
          <w:rFonts w:ascii="Traditional Arabic" w:hAnsi="Traditional Arabic" w:cs="Traditional Arabic" w:hint="cs"/>
          <w:sz w:val="36"/>
          <w:szCs w:val="36"/>
          <w:rtl/>
          <w:lang w:bidi="ar-DZ"/>
        </w:rPr>
        <w:t xml:space="preserve"> </w:t>
      </w:r>
      <w:r w:rsidR="00D64367" w:rsidRPr="00D64367">
        <w:rPr>
          <w:rFonts w:ascii="Traditional Arabic" w:hAnsi="Traditional Arabic" w:cs="Traditional Arabic" w:hint="cs"/>
          <w:sz w:val="36"/>
          <w:szCs w:val="36"/>
          <w:rtl/>
          <w:lang w:bidi="ar-DZ"/>
        </w:rPr>
        <w:t xml:space="preserve"> </w:t>
      </w:r>
    </w:p>
    <w:p w14:paraId="6B530A59" w14:textId="5BB8004D" w:rsidR="00823EAE" w:rsidRDefault="001C7E37" w:rsidP="001C7E37">
      <w:pPr>
        <w:bidi/>
        <w:jc w:val="both"/>
        <w:rPr>
          <w:rFonts w:ascii="Traditional Arabic" w:hAnsi="Traditional Arabic" w:cs="Traditional Arabic"/>
          <w:b/>
          <w:bCs/>
          <w:sz w:val="36"/>
          <w:szCs w:val="36"/>
          <w:rtl/>
          <w:lang w:bidi="ar-DZ"/>
        </w:rPr>
      </w:pPr>
      <w:r>
        <w:rPr>
          <w:rFonts w:ascii="Traditional Arabic" w:hAnsi="Traditional Arabic" w:cs="Traditional Arabic"/>
          <w:b/>
          <w:bCs/>
          <w:sz w:val="36"/>
          <w:szCs w:val="36"/>
          <w:lang w:bidi="ar-DZ"/>
        </w:rPr>
        <w:t>1</w:t>
      </w:r>
      <w:r w:rsidR="00823EAE">
        <w:rPr>
          <w:rFonts w:ascii="Traditional Arabic" w:hAnsi="Traditional Arabic" w:cs="Traditional Arabic" w:hint="cs"/>
          <w:b/>
          <w:bCs/>
          <w:sz w:val="36"/>
          <w:szCs w:val="36"/>
          <w:rtl/>
          <w:lang w:bidi="ar-DZ"/>
        </w:rPr>
        <w:t>-</w:t>
      </w:r>
      <w:r w:rsidR="00823EAE" w:rsidRPr="00823EAE">
        <w:rPr>
          <w:rFonts w:ascii="Traditional Arabic" w:hAnsi="Traditional Arabic" w:cs="Traditional Arabic" w:hint="cs"/>
          <w:b/>
          <w:bCs/>
          <w:sz w:val="36"/>
          <w:szCs w:val="36"/>
          <w:rtl/>
          <w:lang w:bidi="ar-DZ"/>
        </w:rPr>
        <w:t xml:space="preserve">المقصود بالنقد </w:t>
      </w:r>
      <w:proofErr w:type="gramStart"/>
      <w:r w:rsidR="00823EAE" w:rsidRPr="00823EAE">
        <w:rPr>
          <w:rFonts w:ascii="Traditional Arabic" w:hAnsi="Traditional Arabic" w:cs="Traditional Arabic" w:hint="cs"/>
          <w:b/>
          <w:bCs/>
          <w:sz w:val="36"/>
          <w:szCs w:val="36"/>
          <w:rtl/>
          <w:lang w:bidi="ar-DZ"/>
        </w:rPr>
        <w:t>الجديد:</w:t>
      </w:r>
      <w:proofErr w:type="gramEnd"/>
    </w:p>
    <w:p w14:paraId="115E94D2" w14:textId="4F373C39" w:rsidR="00823EAE" w:rsidRDefault="00823EAE" w:rsidP="00823EAE">
      <w:pPr>
        <w:bidi/>
        <w:jc w:val="both"/>
        <w:rPr>
          <w:rFonts w:ascii="Traditional Arabic" w:hAnsi="Traditional Arabic" w:cs="Traditional Arabic"/>
          <w:sz w:val="36"/>
          <w:szCs w:val="36"/>
          <w:rtl/>
          <w:lang w:bidi="ar-DZ"/>
        </w:rPr>
      </w:pPr>
      <w:r>
        <w:rPr>
          <w:rFonts w:ascii="Traditional Arabic" w:hAnsi="Traditional Arabic" w:cs="Traditional Arabic"/>
          <w:b/>
          <w:bCs/>
          <w:sz w:val="36"/>
          <w:szCs w:val="36"/>
          <w:rtl/>
          <w:lang w:bidi="ar-DZ"/>
        </w:rPr>
        <w:tab/>
      </w:r>
      <w:r>
        <w:rPr>
          <w:rFonts w:ascii="Traditional Arabic" w:hAnsi="Traditional Arabic" w:cs="Traditional Arabic" w:hint="cs"/>
          <w:sz w:val="36"/>
          <w:szCs w:val="36"/>
          <w:rtl/>
          <w:lang w:bidi="ar-DZ"/>
        </w:rPr>
        <w:t>يُعنى بالنقد الجديد هو التيار النقدي الذي يقوم على تأكيد مقولة قراءة النص الأدبيّ وفق نظامه اللُغوي الداخلي والابتعاد عن خارج النص؛ أي إنّه الاتجاه الذي يقوم بعزل النص عن مؤلفه والظروف الخارجية التي كانت تعتبر سببا في إنتاجه، ويرى بأنّ النص الأدبيّ عبارة عن بنية مستقلة بذاتها.</w:t>
      </w:r>
    </w:p>
    <w:p w14:paraId="7D488EB5" w14:textId="314C0263" w:rsidR="00843AFA" w:rsidRDefault="00843AFA" w:rsidP="00843AFA">
      <w:pPr>
        <w:bidi/>
        <w:jc w:val="both"/>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ab/>
      </w:r>
      <w:r>
        <w:rPr>
          <w:rFonts w:ascii="Traditional Arabic" w:hAnsi="Traditional Arabic" w:cs="Traditional Arabic" w:hint="cs"/>
          <w:sz w:val="36"/>
          <w:szCs w:val="36"/>
          <w:rtl/>
          <w:lang w:bidi="ar-DZ"/>
        </w:rPr>
        <w:t xml:space="preserve">برز مسمى النقد الجديد مع الناقد الأمريكي (جون </w:t>
      </w:r>
      <w:proofErr w:type="spellStart"/>
      <w:r>
        <w:rPr>
          <w:rFonts w:ascii="Traditional Arabic" w:hAnsi="Traditional Arabic" w:cs="Traditional Arabic" w:hint="cs"/>
          <w:sz w:val="36"/>
          <w:szCs w:val="36"/>
          <w:rtl/>
          <w:lang w:bidi="ar-DZ"/>
        </w:rPr>
        <w:t>كرورانسوم</w:t>
      </w:r>
      <w:proofErr w:type="spellEnd"/>
      <w:r>
        <w:rPr>
          <w:rFonts w:ascii="Traditional Arabic" w:hAnsi="Traditional Arabic" w:cs="Traditional Arabic" w:hint="cs"/>
          <w:sz w:val="36"/>
          <w:szCs w:val="36"/>
          <w:rtl/>
          <w:lang w:bidi="ar-DZ"/>
        </w:rPr>
        <w:t>) من خلال مؤلفه: (النقد الجديد) الذي صدر عام 1941م، الذي كان ينادي من خلاله إلى أخذ النقاد بفكرة (الاهتمام بموضوع نقدهم والتركيز على المعنى النصي للعمل الأدبي بدلا من تفسيره بالاعتماد على الظروف الخارجية المساهمة في إنتاجه).</w:t>
      </w:r>
    </w:p>
    <w:p w14:paraId="69B52C89" w14:textId="77777777" w:rsidR="00843AFA" w:rsidRDefault="00843AFA" w:rsidP="00843AFA">
      <w:pPr>
        <w:bidi/>
        <w:ind w:firstLine="708"/>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يتبين مما سبق عرضه حول النقد الجديد أنّه يركز على العمل الأدبي كنظام قائم بذاته عازلا إياه عن أيّ عامل من العوامل الخاصة، وهذا مبدأ يُوافق التصور الذي نادى به العالم اللغوي فرديناند دي سوسير من خلال دراسته للّغة في ذاتها ومن أجل ذاتها، ومن المفاهيم والمقولات التي نادت بها مدرسة النقد الجديد نذكر:</w:t>
      </w:r>
    </w:p>
    <w:p w14:paraId="2F90FF45" w14:textId="77777777" w:rsidR="00F0637F" w:rsidRDefault="00843AFA" w:rsidP="00843AFA">
      <w:pPr>
        <w:bidi/>
        <w:ind w:firstLine="708"/>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-رفض ربط الأدب بحياة الأديب ومجتمعه مما أدى </w:t>
      </w:r>
      <w:proofErr w:type="spellStart"/>
      <w:r>
        <w:rPr>
          <w:rFonts w:ascii="Traditional Arabic" w:hAnsi="Traditional Arabic" w:cs="Traditional Arabic" w:hint="cs"/>
          <w:sz w:val="36"/>
          <w:szCs w:val="36"/>
          <w:rtl/>
          <w:lang w:bidi="ar-DZ"/>
        </w:rPr>
        <w:t>بإليوث</w:t>
      </w:r>
      <w:proofErr w:type="spellEnd"/>
      <w:r>
        <w:rPr>
          <w:rFonts w:ascii="Traditional Arabic" w:hAnsi="Traditional Arabic" w:cs="Traditional Arabic" w:hint="cs"/>
          <w:sz w:val="36"/>
          <w:szCs w:val="36"/>
          <w:rtl/>
          <w:lang w:bidi="ar-DZ"/>
        </w:rPr>
        <w:t xml:space="preserve"> إلى قول:" إنّ الأدب </w:t>
      </w:r>
      <w:r w:rsidR="000C3690">
        <w:rPr>
          <w:rFonts w:ascii="Traditional Arabic" w:hAnsi="Traditional Arabic" w:cs="Traditional Arabic" w:hint="cs"/>
          <w:sz w:val="36"/>
          <w:szCs w:val="36"/>
          <w:rtl/>
          <w:lang w:bidi="ar-DZ"/>
        </w:rPr>
        <w:t xml:space="preserve">ليس تعبيرا عن شخصية الأديب وإحساساته)، ويعني هذا أنّ العمل الفني لا ينقل الإحساس كما هو؛ بل يُجسمه في شيء جديد يعادله ويُساويه. وهذا ما أطلق عليه </w:t>
      </w:r>
      <w:proofErr w:type="spellStart"/>
      <w:r w:rsidR="000C3690">
        <w:rPr>
          <w:rFonts w:ascii="Traditional Arabic" w:hAnsi="Traditional Arabic" w:cs="Traditional Arabic" w:hint="cs"/>
          <w:sz w:val="36"/>
          <w:szCs w:val="36"/>
          <w:rtl/>
          <w:lang w:bidi="ar-DZ"/>
        </w:rPr>
        <w:t>إليوث</w:t>
      </w:r>
      <w:proofErr w:type="spellEnd"/>
      <w:r w:rsidR="000C3690">
        <w:rPr>
          <w:rFonts w:ascii="Traditional Arabic" w:hAnsi="Traditional Arabic" w:cs="Traditional Arabic" w:hint="cs"/>
          <w:sz w:val="36"/>
          <w:szCs w:val="36"/>
          <w:rtl/>
          <w:lang w:bidi="ar-DZ"/>
        </w:rPr>
        <w:t xml:space="preserve"> مسمى (المعادل الموضوعي) الذي يقصد به: " أنّ العمل الأدبي من منظور </w:t>
      </w:r>
      <w:proofErr w:type="spellStart"/>
      <w:r w:rsidR="000C3690">
        <w:rPr>
          <w:rFonts w:ascii="Traditional Arabic" w:hAnsi="Traditional Arabic" w:cs="Traditional Arabic" w:hint="cs"/>
          <w:sz w:val="36"/>
          <w:szCs w:val="36"/>
          <w:rtl/>
          <w:lang w:bidi="ar-DZ"/>
        </w:rPr>
        <w:t>إليوث</w:t>
      </w:r>
      <w:proofErr w:type="spellEnd"/>
      <w:r w:rsidR="000C3690">
        <w:rPr>
          <w:rFonts w:ascii="Traditional Arabic" w:hAnsi="Traditional Arabic" w:cs="Traditional Arabic" w:hint="cs"/>
          <w:sz w:val="36"/>
          <w:szCs w:val="36"/>
          <w:rtl/>
          <w:lang w:bidi="ar-DZ"/>
        </w:rPr>
        <w:t xml:space="preserve"> وفق المعادل الموضوعي يصور لنا </w:t>
      </w:r>
      <w:r w:rsidR="00F0637F">
        <w:rPr>
          <w:rFonts w:ascii="Traditional Arabic" w:hAnsi="Traditional Arabic" w:cs="Traditional Arabic" w:hint="cs"/>
          <w:sz w:val="36"/>
          <w:szCs w:val="36"/>
          <w:rtl/>
          <w:lang w:bidi="ar-DZ"/>
        </w:rPr>
        <w:t>الحياة وليس صورة لها، ومعادلا مساويا للحياة؛ فالعمل الأدبيّ يمكن أن يكون إلاّ صورة لنفسه، فهو ليس صورة للمؤلف أو الحياة أو المجتمع. فهو لا يمكن أن يزودنا بشيء خارج نطاقه لأنّ قيمة العمل الأدبيّ تكمن في ذلك الأثر الذي يتركه في نفوسنا كما خلقه الفنان</w:t>
      </w:r>
      <w:r w:rsidR="000C3690">
        <w:rPr>
          <w:rFonts w:ascii="Traditional Arabic" w:hAnsi="Traditional Arabic" w:cs="Traditional Arabic" w:hint="cs"/>
          <w:sz w:val="36"/>
          <w:szCs w:val="36"/>
          <w:rtl/>
          <w:lang w:bidi="ar-DZ"/>
        </w:rPr>
        <w:t>"</w:t>
      </w:r>
      <w:r w:rsidR="00F0637F">
        <w:rPr>
          <w:rFonts w:ascii="Traditional Arabic" w:hAnsi="Traditional Arabic" w:cs="Traditional Arabic" w:hint="cs"/>
          <w:sz w:val="36"/>
          <w:szCs w:val="36"/>
          <w:rtl/>
          <w:lang w:bidi="ar-DZ"/>
        </w:rPr>
        <w:t>.</w:t>
      </w:r>
    </w:p>
    <w:p w14:paraId="76651117" w14:textId="77777777" w:rsidR="00F0637F" w:rsidRDefault="00F0637F" w:rsidP="00F0637F">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2</w:t>
      </w:r>
      <w:r w:rsidRPr="00F0637F">
        <w:rPr>
          <w:rFonts w:ascii="Traditional Arabic" w:hAnsi="Traditional Arabic" w:cs="Traditional Arabic" w:hint="cs"/>
          <w:b/>
          <w:bCs/>
          <w:sz w:val="36"/>
          <w:szCs w:val="36"/>
          <w:rtl/>
          <w:lang w:bidi="ar-DZ"/>
        </w:rPr>
        <w:t>-النقد الجديد في النقد العربي المعاصر:</w:t>
      </w:r>
      <w:r w:rsidR="000C3690">
        <w:rPr>
          <w:rFonts w:ascii="Traditional Arabic" w:hAnsi="Traditional Arabic" w:cs="Traditional Arabic" w:hint="cs"/>
          <w:sz w:val="36"/>
          <w:szCs w:val="36"/>
          <w:rtl/>
          <w:lang w:bidi="ar-DZ"/>
        </w:rPr>
        <w:t xml:space="preserve"> </w:t>
      </w:r>
      <w:r w:rsidR="00843AFA">
        <w:rPr>
          <w:rFonts w:ascii="Traditional Arabic" w:hAnsi="Traditional Arabic" w:cs="Traditional Arabic" w:hint="cs"/>
          <w:sz w:val="36"/>
          <w:szCs w:val="36"/>
          <w:rtl/>
          <w:lang w:bidi="ar-DZ"/>
        </w:rPr>
        <w:t xml:space="preserve"> </w:t>
      </w:r>
    </w:p>
    <w:p w14:paraId="6308B7D9" w14:textId="77777777" w:rsidR="000C36C7" w:rsidRDefault="00F0637F" w:rsidP="00F0637F">
      <w:pPr>
        <w:bidi/>
        <w:jc w:val="both"/>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ab/>
      </w:r>
      <w:r>
        <w:rPr>
          <w:rFonts w:ascii="Traditional Arabic" w:hAnsi="Traditional Arabic" w:cs="Traditional Arabic" w:hint="cs"/>
          <w:sz w:val="36"/>
          <w:szCs w:val="36"/>
          <w:rtl/>
          <w:lang w:bidi="ar-DZ"/>
        </w:rPr>
        <w:t xml:space="preserve">شهد النقد العربي المعاصر حضورا للنقد الجديد ومقولاته النقدية، ونجد من نقادنا العرب تأثروا بهذه المفاهيم النقدية التي </w:t>
      </w:r>
      <w:proofErr w:type="spellStart"/>
      <w:r>
        <w:rPr>
          <w:rFonts w:ascii="Traditional Arabic" w:hAnsi="Traditional Arabic" w:cs="Traditional Arabic" w:hint="cs"/>
          <w:sz w:val="36"/>
          <w:szCs w:val="36"/>
          <w:rtl/>
          <w:lang w:bidi="ar-DZ"/>
        </w:rPr>
        <w:t>أرساها</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إليوث</w:t>
      </w:r>
      <w:proofErr w:type="spellEnd"/>
      <w:r>
        <w:rPr>
          <w:rFonts w:ascii="Traditional Arabic" w:hAnsi="Traditional Arabic" w:cs="Traditional Arabic" w:hint="cs"/>
          <w:sz w:val="36"/>
          <w:szCs w:val="36"/>
          <w:rtl/>
          <w:lang w:bidi="ar-DZ"/>
        </w:rPr>
        <w:t xml:space="preserve">، إلاّ أنّه انقسم النقاد العرب بين مؤيد لهذا الاتجاه النقدي وبين معارض لهذا البعد النقدي، نلقى من النقاد المؤيدين مصطفى ناصف، زكي نجيب محمود، ولطفي عبد البديع، عبد العزيز الدسوقي، ورشاد رشدي وهذا الأخير يعد من </w:t>
      </w:r>
      <w:proofErr w:type="spellStart"/>
      <w:r>
        <w:rPr>
          <w:rFonts w:ascii="Traditional Arabic" w:hAnsi="Traditional Arabic" w:cs="Traditional Arabic" w:hint="cs"/>
          <w:sz w:val="36"/>
          <w:szCs w:val="36"/>
          <w:rtl/>
          <w:lang w:bidi="ar-DZ"/>
        </w:rPr>
        <w:t>من</w:t>
      </w:r>
      <w:proofErr w:type="spellEnd"/>
      <w:r>
        <w:rPr>
          <w:rFonts w:ascii="Traditional Arabic" w:hAnsi="Traditional Arabic" w:cs="Traditional Arabic" w:hint="cs"/>
          <w:sz w:val="36"/>
          <w:szCs w:val="36"/>
          <w:rtl/>
          <w:lang w:bidi="ar-DZ"/>
        </w:rPr>
        <w:t xml:space="preserve"> ارتبط اسمه بهذه المدرسة النقدية وبشكل خاص بمقولة </w:t>
      </w:r>
      <w:proofErr w:type="spellStart"/>
      <w:r>
        <w:rPr>
          <w:rFonts w:ascii="Traditional Arabic" w:hAnsi="Traditional Arabic" w:cs="Traditional Arabic" w:hint="cs"/>
          <w:sz w:val="36"/>
          <w:szCs w:val="36"/>
          <w:rtl/>
          <w:lang w:bidi="ar-DZ"/>
        </w:rPr>
        <w:t>إليوث</w:t>
      </w:r>
      <w:proofErr w:type="spellEnd"/>
      <w:r>
        <w:rPr>
          <w:rFonts w:ascii="Traditional Arabic" w:hAnsi="Traditional Arabic" w:cs="Traditional Arabic" w:hint="cs"/>
          <w:sz w:val="36"/>
          <w:szCs w:val="36"/>
          <w:rtl/>
          <w:lang w:bidi="ar-DZ"/>
        </w:rPr>
        <w:t xml:space="preserve"> المعادل الموضوعي </w:t>
      </w:r>
      <w:r w:rsidR="000C36C7">
        <w:rPr>
          <w:rFonts w:ascii="Traditional Arabic" w:hAnsi="Traditional Arabic" w:cs="Traditional Arabic" w:hint="cs"/>
          <w:sz w:val="36"/>
          <w:szCs w:val="36"/>
          <w:rtl/>
          <w:lang w:bidi="ar-DZ"/>
        </w:rPr>
        <w:t>حيث حاول تجسيدها والتعبير عنها في مؤلفه الموسوم بـ: (ما هو الأدب؟).</w:t>
      </w:r>
    </w:p>
    <w:p w14:paraId="02106EAE" w14:textId="77777777" w:rsidR="00424010" w:rsidRDefault="000C36C7" w:rsidP="000C36C7">
      <w:pPr>
        <w:bidi/>
        <w:jc w:val="both"/>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ab/>
      </w:r>
      <w:r>
        <w:rPr>
          <w:rFonts w:ascii="Traditional Arabic" w:hAnsi="Traditional Arabic" w:cs="Traditional Arabic" w:hint="cs"/>
          <w:sz w:val="36"/>
          <w:szCs w:val="36"/>
          <w:rtl/>
          <w:lang w:bidi="ar-DZ"/>
        </w:rPr>
        <w:t xml:space="preserve">ومن المعارضين نجد الناقد سلامة موسى، ومحمد مندور وغيرهم. </w:t>
      </w:r>
    </w:p>
    <w:p w14:paraId="61336BCE" w14:textId="6F24A497" w:rsidR="00843AFA" w:rsidRDefault="00424010" w:rsidP="00424010">
      <w:pPr>
        <w:bidi/>
        <w:jc w:val="both"/>
        <w:rPr>
          <w:rFonts w:ascii="Traditional Arabic" w:hAnsi="Traditional Arabic" w:cs="Traditional Arabic"/>
          <w:b/>
          <w:bCs/>
          <w:sz w:val="36"/>
          <w:szCs w:val="36"/>
          <w:rtl/>
          <w:lang w:bidi="ar-DZ"/>
        </w:rPr>
      </w:pPr>
      <w:r w:rsidRPr="00424010">
        <w:rPr>
          <w:rFonts w:ascii="Traditional Arabic" w:hAnsi="Traditional Arabic" w:cs="Traditional Arabic" w:hint="cs"/>
          <w:b/>
          <w:bCs/>
          <w:sz w:val="36"/>
          <w:szCs w:val="36"/>
          <w:rtl/>
          <w:lang w:bidi="ar-DZ"/>
        </w:rPr>
        <w:t xml:space="preserve">قائمة المصادر والمراجع: </w:t>
      </w:r>
      <w:r w:rsidR="000C36C7" w:rsidRPr="00424010">
        <w:rPr>
          <w:rFonts w:ascii="Traditional Arabic" w:hAnsi="Traditional Arabic" w:cs="Traditional Arabic" w:hint="cs"/>
          <w:b/>
          <w:bCs/>
          <w:sz w:val="36"/>
          <w:szCs w:val="36"/>
          <w:rtl/>
          <w:lang w:bidi="ar-DZ"/>
        </w:rPr>
        <w:t xml:space="preserve"> </w:t>
      </w:r>
      <w:r w:rsidR="00F0637F" w:rsidRPr="00424010">
        <w:rPr>
          <w:rFonts w:ascii="Traditional Arabic" w:hAnsi="Traditional Arabic" w:cs="Traditional Arabic" w:hint="cs"/>
          <w:b/>
          <w:bCs/>
          <w:sz w:val="36"/>
          <w:szCs w:val="36"/>
          <w:rtl/>
          <w:lang w:bidi="ar-DZ"/>
        </w:rPr>
        <w:t xml:space="preserve">  </w:t>
      </w:r>
      <w:r w:rsidR="00843AFA" w:rsidRPr="00424010">
        <w:rPr>
          <w:rFonts w:ascii="Traditional Arabic" w:hAnsi="Traditional Arabic" w:cs="Traditional Arabic" w:hint="cs"/>
          <w:b/>
          <w:bCs/>
          <w:sz w:val="36"/>
          <w:szCs w:val="36"/>
          <w:rtl/>
          <w:lang w:bidi="ar-DZ"/>
        </w:rPr>
        <w:t xml:space="preserve"> </w:t>
      </w:r>
    </w:p>
    <w:p w14:paraId="69B1A0F5" w14:textId="313C6D9E" w:rsidR="00424010" w:rsidRPr="00424010" w:rsidRDefault="00424010" w:rsidP="00424010">
      <w:pPr>
        <w:bidi/>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w:t>
      </w:r>
      <w:proofErr w:type="spellStart"/>
      <w:r w:rsidRPr="00424010">
        <w:rPr>
          <w:rFonts w:ascii="Traditional Arabic" w:hAnsi="Traditional Arabic" w:cs="Traditional Arabic" w:hint="cs"/>
          <w:sz w:val="36"/>
          <w:szCs w:val="36"/>
          <w:rtl/>
          <w:lang w:bidi="ar-DZ"/>
        </w:rPr>
        <w:t>إستقبال</w:t>
      </w:r>
      <w:proofErr w:type="spellEnd"/>
      <w:r w:rsidRPr="00424010">
        <w:rPr>
          <w:rFonts w:ascii="Traditional Arabic" w:hAnsi="Traditional Arabic" w:cs="Traditional Arabic" w:hint="cs"/>
          <w:sz w:val="36"/>
          <w:szCs w:val="36"/>
          <w:rtl/>
          <w:lang w:bidi="ar-DZ"/>
        </w:rPr>
        <w:t xml:space="preserve"> الآخر، سعد </w:t>
      </w:r>
      <w:proofErr w:type="spellStart"/>
      <w:r w:rsidRPr="00424010">
        <w:rPr>
          <w:rFonts w:ascii="Traditional Arabic" w:hAnsi="Traditional Arabic" w:cs="Traditional Arabic" w:hint="cs"/>
          <w:sz w:val="36"/>
          <w:szCs w:val="36"/>
          <w:rtl/>
          <w:lang w:bidi="ar-DZ"/>
        </w:rPr>
        <w:t>البازعي</w:t>
      </w:r>
      <w:proofErr w:type="spellEnd"/>
      <w:r w:rsidRPr="00424010">
        <w:rPr>
          <w:rFonts w:ascii="Traditional Arabic" w:hAnsi="Traditional Arabic" w:cs="Traditional Arabic" w:hint="cs"/>
          <w:sz w:val="36"/>
          <w:szCs w:val="36"/>
          <w:rtl/>
          <w:lang w:bidi="ar-DZ"/>
        </w:rPr>
        <w:t>.</w:t>
      </w:r>
    </w:p>
    <w:p w14:paraId="784A589E" w14:textId="104D346F" w:rsidR="00424010" w:rsidRPr="00424010" w:rsidRDefault="00424010" w:rsidP="00424010">
      <w:pPr>
        <w:bidi/>
        <w:jc w:val="both"/>
        <w:rPr>
          <w:rFonts w:ascii="Traditional Arabic" w:hAnsi="Traditional Arabic" w:cs="Traditional Arabic"/>
          <w:b/>
          <w:bCs/>
          <w:sz w:val="36"/>
          <w:szCs w:val="36"/>
          <w:rtl/>
          <w:lang w:bidi="ar-DZ"/>
        </w:rPr>
      </w:pPr>
      <w:r w:rsidRPr="00424010">
        <w:rPr>
          <w:rFonts w:ascii="Traditional Arabic" w:hAnsi="Traditional Arabic" w:cs="Traditional Arabic" w:hint="cs"/>
          <w:sz w:val="36"/>
          <w:szCs w:val="36"/>
          <w:rtl/>
          <w:lang w:bidi="ar-DZ"/>
        </w:rPr>
        <w:t xml:space="preserve">-دليل الناقد الأدبي، سعد </w:t>
      </w:r>
      <w:proofErr w:type="spellStart"/>
      <w:r w:rsidRPr="00424010">
        <w:rPr>
          <w:rFonts w:ascii="Traditional Arabic" w:hAnsi="Traditional Arabic" w:cs="Traditional Arabic" w:hint="cs"/>
          <w:sz w:val="36"/>
          <w:szCs w:val="36"/>
          <w:rtl/>
          <w:lang w:bidi="ar-DZ"/>
        </w:rPr>
        <w:t>البازعي</w:t>
      </w:r>
      <w:proofErr w:type="spellEnd"/>
      <w:r w:rsidRPr="00424010">
        <w:rPr>
          <w:rFonts w:ascii="Traditional Arabic" w:hAnsi="Traditional Arabic" w:cs="Traditional Arabic" w:hint="cs"/>
          <w:sz w:val="36"/>
          <w:szCs w:val="36"/>
          <w:rtl/>
          <w:lang w:bidi="ar-DZ"/>
        </w:rPr>
        <w:t xml:space="preserve"> وآخرون.</w:t>
      </w:r>
    </w:p>
    <w:sectPr w:rsidR="00424010" w:rsidRPr="004240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D552D" w14:textId="77777777" w:rsidR="00417AB3" w:rsidRDefault="00417AB3" w:rsidP="00823EAE">
      <w:pPr>
        <w:spacing w:after="0" w:line="240" w:lineRule="auto"/>
      </w:pPr>
      <w:r>
        <w:separator/>
      </w:r>
    </w:p>
  </w:endnote>
  <w:endnote w:type="continuationSeparator" w:id="0">
    <w:p w14:paraId="58DE8651" w14:textId="77777777" w:rsidR="00417AB3" w:rsidRDefault="00417AB3" w:rsidP="00823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4FAFA" w14:textId="77777777" w:rsidR="00417AB3" w:rsidRDefault="00417AB3" w:rsidP="00823EAE">
      <w:pPr>
        <w:spacing w:after="0" w:line="240" w:lineRule="auto"/>
      </w:pPr>
      <w:r>
        <w:separator/>
      </w:r>
    </w:p>
  </w:footnote>
  <w:footnote w:type="continuationSeparator" w:id="0">
    <w:p w14:paraId="4627E263" w14:textId="77777777" w:rsidR="00417AB3" w:rsidRDefault="00417AB3" w:rsidP="00823E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EAE"/>
    <w:rsid w:val="000834F0"/>
    <w:rsid w:val="000C3690"/>
    <w:rsid w:val="000C36C7"/>
    <w:rsid w:val="00193BC7"/>
    <w:rsid w:val="001C7E37"/>
    <w:rsid w:val="00417AB3"/>
    <w:rsid w:val="00424010"/>
    <w:rsid w:val="00823EAE"/>
    <w:rsid w:val="00843AFA"/>
    <w:rsid w:val="00D64367"/>
    <w:rsid w:val="00EE2F5A"/>
    <w:rsid w:val="00F0637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55A02"/>
  <w15:chartTrackingRefBased/>
  <w15:docId w15:val="{75001C3C-8AC6-4271-8422-1752DACE6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23EAE"/>
    <w:pPr>
      <w:tabs>
        <w:tab w:val="center" w:pos="4153"/>
        <w:tab w:val="right" w:pos="8306"/>
      </w:tabs>
      <w:spacing w:after="0" w:line="240" w:lineRule="auto"/>
    </w:pPr>
  </w:style>
  <w:style w:type="character" w:customStyle="1" w:styleId="En-tteCar">
    <w:name w:val="En-tête Car"/>
    <w:basedOn w:val="Policepardfaut"/>
    <w:link w:val="En-tte"/>
    <w:uiPriority w:val="99"/>
    <w:rsid w:val="00823EAE"/>
  </w:style>
  <w:style w:type="paragraph" w:styleId="Pieddepage">
    <w:name w:val="footer"/>
    <w:basedOn w:val="Normal"/>
    <w:link w:val="PieddepageCar"/>
    <w:uiPriority w:val="99"/>
    <w:unhideWhenUsed/>
    <w:rsid w:val="00823EAE"/>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823E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394</Words>
  <Characters>2173</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4</cp:revision>
  <dcterms:created xsi:type="dcterms:W3CDTF">2024-03-01T17:15:00Z</dcterms:created>
  <dcterms:modified xsi:type="dcterms:W3CDTF">2025-02-15T16:42:00Z</dcterms:modified>
</cp:coreProperties>
</file>