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E7F39" w14:textId="77777777" w:rsidR="009D2598" w:rsidRPr="00D01D5E" w:rsidRDefault="009D2598" w:rsidP="009D2598">
      <w:pPr>
        <w:bidi/>
        <w:spacing w:after="0"/>
        <w:ind w:hanging="2"/>
        <w:jc w:val="both"/>
        <w:rPr>
          <w:rFonts w:ascii="Traditional Arabic" w:hAnsi="Traditional Arabic" w:cs="Traditional Arabic"/>
          <w:b/>
          <w:bCs/>
          <w:sz w:val="32"/>
          <w:szCs w:val="32"/>
          <w:rtl/>
          <w:lang w:bidi="ar-DZ"/>
        </w:rPr>
      </w:pPr>
      <w:r w:rsidRPr="00D01D5E">
        <w:rPr>
          <w:rFonts w:ascii="Traditional Arabic" w:hAnsi="Traditional Arabic" w:cs="Traditional Arabic"/>
          <w:b/>
          <w:bCs/>
          <w:sz w:val="32"/>
          <w:szCs w:val="32"/>
          <w:rtl/>
          <w:lang w:bidi="ar-DZ"/>
        </w:rPr>
        <w:t>علاقة التدقيق الداخلي بحوكمة الشركات</w:t>
      </w:r>
    </w:p>
    <w:p w14:paraId="34337CD5" w14:textId="77777777" w:rsidR="009D2598" w:rsidRPr="00D01D5E" w:rsidRDefault="009D2598" w:rsidP="009D2598">
      <w:pPr>
        <w:bidi/>
        <w:spacing w:after="0"/>
        <w:ind w:firstLine="510"/>
        <w:jc w:val="both"/>
        <w:rPr>
          <w:rFonts w:ascii="Traditional Arabic" w:hAnsi="Traditional Arabic" w:cs="Traditional Arabic"/>
          <w:sz w:val="32"/>
          <w:szCs w:val="32"/>
          <w:u w:val="single"/>
          <w:rtl/>
          <w:lang w:bidi="ar-DZ"/>
        </w:rPr>
      </w:pPr>
      <w:r w:rsidRPr="00D01D5E">
        <w:rPr>
          <w:rFonts w:ascii="Traditional Arabic" w:hAnsi="Traditional Arabic" w:cs="Traditional Arabic"/>
          <w:b/>
          <w:bCs/>
          <w:sz w:val="32"/>
          <w:szCs w:val="32"/>
          <w:u w:val="single"/>
          <w:rtl/>
          <w:lang w:bidi="ar-DZ"/>
        </w:rPr>
        <w:t xml:space="preserve">أولا: دور التدقيق الداخلي في التطبيق الفعال لمبادئ حوكمة الشركات </w:t>
      </w:r>
    </w:p>
    <w:p w14:paraId="3648CA07" w14:textId="77777777" w:rsidR="009D2598" w:rsidRPr="00D01D5E" w:rsidRDefault="009D2598" w:rsidP="009D2598">
      <w:pPr>
        <w:bidi/>
        <w:spacing w:after="0"/>
        <w:ind w:firstLine="510"/>
        <w:jc w:val="both"/>
        <w:rPr>
          <w:rFonts w:ascii="Traditional Arabic" w:eastAsia="Calibri" w:hAnsi="Traditional Arabic" w:cs="Traditional Arabic"/>
          <w:sz w:val="32"/>
          <w:szCs w:val="32"/>
          <w:rtl/>
          <w:lang w:bidi="ar-DZ"/>
        </w:rPr>
      </w:pPr>
      <w:r w:rsidRPr="00D01D5E">
        <w:rPr>
          <w:rFonts w:ascii="Traditional Arabic" w:eastAsia="Calibri" w:hAnsi="Traditional Arabic" w:cs="Traditional Arabic"/>
          <w:sz w:val="32"/>
          <w:szCs w:val="32"/>
          <w:rtl/>
          <w:lang w:bidi="ar-DZ"/>
        </w:rPr>
        <w:t xml:space="preserve">إن الدور الذي يلعبه التدقيق الداخلي ولجان التدقيق في أنجاح تطبيق الحوكمة وفي إعداد تقارير مالية تتضمن بيانات ومعلومات مالية تتميز بالدقة، التماثل والملائمة  ذلك في الوقت المناسب، ما يكسبها ثقة مستخدميها الخارجيين، خاصة المستثمرين، </w:t>
      </w:r>
      <w:r w:rsidRPr="00D01D5E">
        <w:rPr>
          <w:rFonts w:ascii="Traditional Arabic" w:hAnsi="Traditional Arabic" w:cs="Traditional Arabic"/>
          <w:sz w:val="32"/>
          <w:szCs w:val="32"/>
          <w:rtl/>
          <w:lang w:bidi="ar-DZ"/>
        </w:rPr>
        <w:t xml:space="preserve">ولمعرفة كيف يمكن </w:t>
      </w:r>
      <w:r w:rsidRPr="00D01D5E">
        <w:rPr>
          <w:rFonts w:ascii="Traditional Arabic" w:eastAsia="Calibri" w:hAnsi="Traditional Arabic" w:cs="Traditional Arabic"/>
          <w:sz w:val="32"/>
          <w:szCs w:val="32"/>
          <w:rtl/>
          <w:lang w:bidi="ar-DZ"/>
        </w:rPr>
        <w:t>التأكد مــن علاقة الربط بين نجاعة التدقيق الداخلي في التطبيق السليم للحوكمـة</w:t>
      </w:r>
      <w:r w:rsidRPr="00D01D5E">
        <w:rPr>
          <w:rFonts w:ascii="Traditional Arabic" w:hAnsi="Traditional Arabic" w:cs="Traditional Arabic"/>
          <w:sz w:val="32"/>
          <w:szCs w:val="32"/>
          <w:rtl/>
          <w:lang w:bidi="ar-DZ"/>
        </w:rPr>
        <w:t xml:space="preserve">  ي</w:t>
      </w:r>
      <w:r w:rsidRPr="00D01D5E">
        <w:rPr>
          <w:rFonts w:ascii="Traditional Arabic" w:eastAsia="Calibri" w:hAnsi="Traditional Arabic" w:cs="Traditional Arabic"/>
          <w:sz w:val="32"/>
          <w:szCs w:val="32"/>
          <w:rtl/>
          <w:lang w:bidi="ar-DZ"/>
        </w:rPr>
        <w:t xml:space="preserve">ستدعي التعرف على بعض الجوانب المحاسبية لحوكمة الشركات، والتي مصدرها، بالدرجة الأولى التدقيق الداخلي، الذي </w:t>
      </w:r>
      <w:r w:rsidRPr="00D01D5E">
        <w:rPr>
          <w:rFonts w:ascii="Traditional Arabic" w:hAnsi="Traditional Arabic" w:cs="Traditional Arabic"/>
          <w:sz w:val="32"/>
          <w:szCs w:val="32"/>
          <w:rtl/>
          <w:lang w:bidi="ar-DZ"/>
        </w:rPr>
        <w:t>يعتبر أحد أهم ركائز</w:t>
      </w:r>
      <w:r w:rsidRPr="00D01D5E">
        <w:rPr>
          <w:rFonts w:ascii="Traditional Arabic" w:eastAsia="Calibri" w:hAnsi="Traditional Arabic" w:cs="Traditional Arabic"/>
          <w:sz w:val="32"/>
          <w:szCs w:val="32"/>
          <w:rtl/>
          <w:lang w:bidi="ar-DZ"/>
        </w:rPr>
        <w:t xml:space="preserve"> الحوكمة، ويقدم رؤية موضوعية لوضعية الشركة، وذلك من خلال تأكيد دقة الحسابات أو تقديم تقارير عن الوضعية المالية للشركة، ومن هذه  الأبعاد نذكر:</w:t>
      </w:r>
    </w:p>
    <w:p w14:paraId="217B2F6F" w14:textId="77777777" w:rsidR="009D2598" w:rsidRPr="00D01D5E" w:rsidRDefault="009D2598" w:rsidP="009D2598">
      <w:pPr>
        <w:numPr>
          <w:ilvl w:val="0"/>
          <w:numId w:val="1"/>
        </w:numPr>
        <w:tabs>
          <w:tab w:val="left" w:pos="2441"/>
        </w:tabs>
        <w:bidi/>
        <w:spacing w:after="0"/>
        <w:contextualSpacing/>
        <w:jc w:val="both"/>
        <w:rPr>
          <w:rFonts w:ascii="Traditional Arabic" w:eastAsia="Calibri" w:hAnsi="Traditional Arabic" w:cs="Traditional Arabic"/>
          <w:sz w:val="32"/>
          <w:szCs w:val="32"/>
          <w:rtl/>
          <w:lang w:bidi="ar-DZ"/>
        </w:rPr>
      </w:pPr>
      <w:r w:rsidRPr="00D01D5E">
        <w:rPr>
          <w:rFonts w:ascii="Traditional Arabic" w:eastAsia="Calibri" w:hAnsi="Traditional Arabic" w:cs="Traditional Arabic"/>
          <w:b/>
          <w:bCs/>
          <w:sz w:val="32"/>
          <w:szCs w:val="32"/>
          <w:rtl/>
          <w:lang w:bidi="ar-DZ"/>
        </w:rPr>
        <w:t>المساءلة و الرقابة المحاسبية</w:t>
      </w:r>
      <w:r w:rsidRPr="00D01D5E">
        <w:rPr>
          <w:rFonts w:ascii="Traditional Arabic" w:eastAsia="Calibri" w:hAnsi="Traditional Arabic" w:cs="Traditional Arabic"/>
          <w:sz w:val="32"/>
          <w:szCs w:val="32"/>
          <w:rtl/>
          <w:lang w:bidi="ar-DZ"/>
        </w:rPr>
        <w:t xml:space="preserve">:    </w:t>
      </w:r>
    </w:p>
    <w:p w14:paraId="0DD77458" w14:textId="77777777" w:rsidR="009D2598" w:rsidRPr="00D01D5E" w:rsidRDefault="009D2598" w:rsidP="009D2598">
      <w:pPr>
        <w:tabs>
          <w:tab w:val="left" w:pos="2441"/>
        </w:tabs>
        <w:bidi/>
        <w:spacing w:after="0"/>
        <w:ind w:firstLine="510"/>
        <w:jc w:val="both"/>
        <w:rPr>
          <w:rFonts w:ascii="Traditional Arabic" w:eastAsia="Calibri" w:hAnsi="Traditional Arabic" w:cs="Traditional Arabic"/>
          <w:sz w:val="32"/>
          <w:szCs w:val="32"/>
          <w:rtl/>
          <w:lang w:bidi="ar-DZ"/>
        </w:rPr>
      </w:pPr>
      <w:r w:rsidRPr="00D01D5E">
        <w:rPr>
          <w:rFonts w:ascii="Traditional Arabic" w:eastAsia="Calibri" w:hAnsi="Traditional Arabic" w:cs="Traditional Arabic"/>
          <w:sz w:val="32"/>
          <w:szCs w:val="32"/>
          <w:rtl/>
          <w:lang w:bidi="ar-DZ"/>
        </w:rPr>
        <w:t>ويعني هذا ضرورة قيام المساهمين بمساءلة أعضاء مجلس الإدارة، والذين يتعين عليهم توفير البيانات و المعلومات اللازمة، لأن المساهمين لديهم المسؤولية والحق باعتبارهم ملاكا، وقد أشارت المعايير الموضوعة من قبل بورصة نيويورك للأوراق المالية عام 2003، والخاصة بحوكمة الشركات، إلى ضرورة تفعيل الدور الرقابي للمساهمين من خلال المشاركة في جميع القرارات الأساسية للشركة</w:t>
      </w:r>
      <w:r w:rsidRPr="00D01D5E">
        <w:rPr>
          <w:rFonts w:ascii="Traditional Arabic" w:eastAsia="Calibri" w:hAnsi="Traditional Arabic" w:cs="Traditional Arabic"/>
          <w:szCs w:val="32"/>
          <w:vertAlign w:val="superscript"/>
          <w:rtl/>
          <w:lang w:bidi="ar-DZ"/>
        </w:rPr>
        <w:footnoteReference w:id="1"/>
      </w:r>
      <w:r w:rsidRPr="00D01D5E">
        <w:rPr>
          <w:rFonts w:ascii="Traditional Arabic" w:eastAsia="Calibri" w:hAnsi="Traditional Arabic" w:cs="Traditional Arabic"/>
          <w:sz w:val="32"/>
          <w:szCs w:val="32"/>
          <w:rtl/>
          <w:lang w:bidi="ar-DZ"/>
        </w:rPr>
        <w:t>.</w:t>
      </w:r>
    </w:p>
    <w:p w14:paraId="1D96FE3B" w14:textId="77777777" w:rsidR="009D2598" w:rsidRPr="00D01D5E" w:rsidRDefault="009D2598" w:rsidP="009D2598">
      <w:pPr>
        <w:numPr>
          <w:ilvl w:val="0"/>
          <w:numId w:val="1"/>
        </w:numPr>
        <w:tabs>
          <w:tab w:val="left" w:pos="2441"/>
        </w:tabs>
        <w:bidi/>
        <w:spacing w:after="0"/>
        <w:contextualSpacing/>
        <w:jc w:val="both"/>
        <w:rPr>
          <w:rFonts w:ascii="Traditional Arabic" w:eastAsia="Calibri" w:hAnsi="Traditional Arabic" w:cs="Traditional Arabic"/>
          <w:sz w:val="32"/>
          <w:szCs w:val="32"/>
          <w:rtl/>
          <w:lang w:bidi="ar-DZ"/>
        </w:rPr>
      </w:pPr>
      <w:r w:rsidRPr="00D01D5E">
        <w:rPr>
          <w:rFonts w:ascii="Traditional Arabic" w:eastAsia="Calibri" w:hAnsi="Traditional Arabic" w:cs="Traditional Arabic"/>
          <w:b/>
          <w:bCs/>
          <w:sz w:val="32"/>
          <w:szCs w:val="32"/>
          <w:rtl/>
          <w:lang w:bidi="ar-DZ"/>
        </w:rPr>
        <w:t>التدقيق الداخلي</w:t>
      </w:r>
      <w:r w:rsidRPr="00D01D5E">
        <w:rPr>
          <w:rFonts w:ascii="Traditional Arabic" w:hAnsi="Traditional Arabic" w:cs="Traditional Arabic"/>
          <w:b/>
          <w:bCs/>
          <w:sz w:val="32"/>
          <w:szCs w:val="32"/>
          <w:rtl/>
          <w:lang w:bidi="ar-DZ"/>
        </w:rPr>
        <w:t>:</w:t>
      </w:r>
    </w:p>
    <w:p w14:paraId="44A3E1FE" w14:textId="77777777" w:rsidR="009D2598" w:rsidRPr="00D01D5E" w:rsidRDefault="009D2598" w:rsidP="009D2598">
      <w:pPr>
        <w:tabs>
          <w:tab w:val="left" w:pos="2441"/>
        </w:tabs>
        <w:bidi/>
        <w:spacing w:after="0"/>
        <w:ind w:firstLine="510"/>
        <w:jc w:val="both"/>
        <w:rPr>
          <w:rFonts w:ascii="Traditional Arabic" w:eastAsia="Calibri" w:hAnsi="Traditional Arabic" w:cs="Traditional Arabic"/>
          <w:sz w:val="32"/>
          <w:szCs w:val="32"/>
          <w:rtl/>
          <w:lang w:bidi="ar-DZ"/>
        </w:rPr>
      </w:pPr>
      <w:r w:rsidRPr="00D01D5E">
        <w:rPr>
          <w:rFonts w:ascii="Traditional Arabic" w:eastAsia="Calibri" w:hAnsi="Traditional Arabic" w:cs="Traditional Arabic"/>
          <w:sz w:val="32"/>
          <w:szCs w:val="32"/>
          <w:rtl/>
          <w:lang w:bidi="ar-DZ"/>
        </w:rPr>
        <w:t>يساعد التدقيق الداخلي في إنجاح الحوكمة وبالتالي تحقيق أهداف الشركة من خلال الرقابة الداخلية، والتي تعمل على تقييم الأداء من الجانب المحاسبي والمالي للشركة، خاصة فيما يتعلق بإدارة المخاطر والرقابة عليها، فالتدقيق الداخلي يساعد في حماية أموال الشركة والخطط الإدارية الموضوعة، من خلال ضمانه دقة البيانات التي تستخدمها الإدارة في توجيه السياسة العامة للشركة، والمساهمة في إدخال تحسينات على الأساليب الإدارية والرقابية المعتمدة</w:t>
      </w:r>
      <w:r w:rsidRPr="00D01D5E">
        <w:rPr>
          <w:rFonts w:ascii="Traditional Arabic" w:eastAsia="Calibri" w:hAnsi="Traditional Arabic" w:cs="Traditional Arabic"/>
          <w:szCs w:val="32"/>
          <w:vertAlign w:val="superscript"/>
          <w:rtl/>
          <w:lang w:bidi="ar-DZ"/>
        </w:rPr>
        <w:footnoteReference w:id="2"/>
      </w:r>
      <w:r w:rsidRPr="00D01D5E">
        <w:rPr>
          <w:rFonts w:ascii="Traditional Arabic" w:eastAsia="Calibri" w:hAnsi="Traditional Arabic" w:cs="Traditional Arabic"/>
          <w:sz w:val="32"/>
          <w:szCs w:val="32"/>
          <w:rtl/>
          <w:lang w:bidi="ar-DZ"/>
        </w:rPr>
        <w:t>.</w:t>
      </w:r>
    </w:p>
    <w:p w14:paraId="5E21AED4" w14:textId="77777777" w:rsidR="009D2598" w:rsidRPr="00D01D5E" w:rsidRDefault="009D2598" w:rsidP="009D2598">
      <w:pPr>
        <w:numPr>
          <w:ilvl w:val="0"/>
          <w:numId w:val="1"/>
        </w:numPr>
        <w:tabs>
          <w:tab w:val="left" w:pos="2441"/>
        </w:tabs>
        <w:bidi/>
        <w:spacing w:after="0"/>
        <w:contextualSpacing/>
        <w:jc w:val="both"/>
        <w:rPr>
          <w:rFonts w:ascii="Traditional Arabic" w:eastAsia="Calibri" w:hAnsi="Traditional Arabic" w:cs="Traditional Arabic"/>
          <w:b/>
          <w:bCs/>
          <w:sz w:val="32"/>
          <w:szCs w:val="32"/>
          <w:rtl/>
          <w:lang w:bidi="ar-DZ"/>
        </w:rPr>
      </w:pPr>
      <w:r w:rsidRPr="00D01D5E">
        <w:rPr>
          <w:rFonts w:ascii="Traditional Arabic" w:eastAsia="Calibri" w:hAnsi="Traditional Arabic" w:cs="Traditional Arabic"/>
          <w:b/>
          <w:bCs/>
          <w:sz w:val="32"/>
          <w:szCs w:val="32"/>
          <w:rtl/>
          <w:lang w:bidi="ar-DZ"/>
        </w:rPr>
        <w:t>التدقيق الخارجي</w:t>
      </w:r>
      <w:r w:rsidRPr="00D01D5E">
        <w:rPr>
          <w:rFonts w:ascii="Traditional Arabic" w:hAnsi="Traditional Arabic" w:cs="Traditional Arabic"/>
          <w:b/>
          <w:bCs/>
          <w:sz w:val="32"/>
          <w:szCs w:val="32"/>
          <w:rtl/>
          <w:lang w:bidi="ar-DZ"/>
        </w:rPr>
        <w:t>:</w:t>
      </w:r>
    </w:p>
    <w:p w14:paraId="4D3CE7E3" w14:textId="77777777" w:rsidR="009D2598" w:rsidRDefault="009D2598" w:rsidP="009D2598">
      <w:pPr>
        <w:tabs>
          <w:tab w:val="left" w:pos="2441"/>
        </w:tabs>
        <w:bidi/>
        <w:spacing w:after="0"/>
        <w:ind w:firstLine="510"/>
        <w:jc w:val="both"/>
        <w:rPr>
          <w:rFonts w:ascii="Traditional Arabic" w:eastAsia="Calibri" w:hAnsi="Traditional Arabic" w:cs="Traditional Arabic"/>
          <w:sz w:val="32"/>
          <w:szCs w:val="32"/>
          <w:rtl/>
          <w:lang w:bidi="ar-DZ"/>
        </w:rPr>
      </w:pPr>
      <w:r w:rsidRPr="00D01D5E">
        <w:rPr>
          <w:rFonts w:ascii="Traditional Arabic" w:eastAsia="Calibri" w:hAnsi="Traditional Arabic" w:cs="Traditional Arabic"/>
          <w:sz w:val="32"/>
          <w:szCs w:val="32"/>
          <w:rtl/>
          <w:lang w:bidi="ar-DZ"/>
        </w:rPr>
        <w:t xml:space="preserve"> للتدقيق الخارجي دور مهم وفعال في إنجاح حوكمة الشركات لأنه يقلص أو يقضي على التعارض بين المساهمين والإدارة، كما أنه يقضي على عدم تماثل المعلومات المحاسبية المحتواة بالقوائم المالية، فالمدقق الخارجي يضفي </w:t>
      </w:r>
      <w:r w:rsidRPr="00D01D5E">
        <w:rPr>
          <w:rFonts w:ascii="Traditional Arabic" w:eastAsia="Calibri" w:hAnsi="Traditional Arabic" w:cs="Traditional Arabic"/>
          <w:sz w:val="32"/>
          <w:szCs w:val="32"/>
          <w:rtl/>
          <w:lang w:bidi="ar-DZ"/>
        </w:rPr>
        <w:lastRenderedPageBreak/>
        <w:t>ثقة ومصداقية على المعلومات المحاسبية من خلال المصادقة على القوائم المالية التي تعدها الشركة، وذلك بعد مراجعتها والتأكد من صحة البيانات والمعلومات الواردة بها، بحيث يقوم بإعداد تقارير مفصلة ترفق بالقوائم المالية</w:t>
      </w:r>
      <w:r w:rsidRPr="00D01D5E">
        <w:rPr>
          <w:rFonts w:ascii="Traditional Arabic" w:eastAsia="Calibri" w:hAnsi="Traditional Arabic" w:cs="Traditional Arabic"/>
          <w:szCs w:val="32"/>
          <w:vertAlign w:val="superscript"/>
          <w:rtl/>
          <w:lang w:bidi="ar-DZ"/>
        </w:rPr>
        <w:footnoteReference w:id="3"/>
      </w:r>
      <w:r w:rsidRPr="00D01D5E">
        <w:rPr>
          <w:rFonts w:ascii="Traditional Arabic" w:eastAsia="Calibri" w:hAnsi="Traditional Arabic" w:cs="Traditional Arabic"/>
          <w:sz w:val="32"/>
          <w:szCs w:val="32"/>
          <w:rtl/>
          <w:lang w:bidi="ar-DZ"/>
        </w:rPr>
        <w:t>.</w:t>
      </w:r>
    </w:p>
    <w:p w14:paraId="3498C662" w14:textId="77777777" w:rsidR="009D2598" w:rsidRDefault="009D2598" w:rsidP="009D2598">
      <w:pPr>
        <w:tabs>
          <w:tab w:val="left" w:pos="2441"/>
        </w:tabs>
        <w:bidi/>
        <w:spacing w:after="0"/>
        <w:ind w:firstLine="510"/>
        <w:jc w:val="both"/>
        <w:rPr>
          <w:rFonts w:ascii="Traditional Arabic" w:eastAsia="Calibri" w:hAnsi="Traditional Arabic" w:cs="Traditional Arabic"/>
          <w:sz w:val="32"/>
          <w:szCs w:val="32"/>
          <w:rtl/>
          <w:lang w:bidi="ar-DZ"/>
        </w:rPr>
      </w:pPr>
    </w:p>
    <w:p w14:paraId="63FF6C0D" w14:textId="77777777" w:rsidR="009D2598" w:rsidRPr="00D01D5E" w:rsidRDefault="009D2598" w:rsidP="009D2598">
      <w:pPr>
        <w:numPr>
          <w:ilvl w:val="0"/>
          <w:numId w:val="1"/>
        </w:numPr>
        <w:tabs>
          <w:tab w:val="left" w:pos="2441"/>
        </w:tabs>
        <w:bidi/>
        <w:spacing w:after="0"/>
        <w:contextualSpacing/>
        <w:jc w:val="both"/>
        <w:rPr>
          <w:rFonts w:ascii="Traditional Arabic" w:eastAsia="Calibri" w:hAnsi="Traditional Arabic" w:cs="Traditional Arabic"/>
          <w:b/>
          <w:bCs/>
          <w:sz w:val="32"/>
          <w:szCs w:val="32"/>
          <w:rtl/>
          <w:lang w:bidi="ar-DZ"/>
        </w:rPr>
      </w:pPr>
      <w:r w:rsidRPr="00D01D5E">
        <w:rPr>
          <w:rFonts w:ascii="Traditional Arabic" w:eastAsia="Calibri" w:hAnsi="Traditional Arabic" w:cs="Traditional Arabic"/>
          <w:b/>
          <w:bCs/>
          <w:sz w:val="32"/>
          <w:szCs w:val="32"/>
          <w:rtl/>
          <w:lang w:bidi="ar-DZ"/>
        </w:rPr>
        <w:t>لجان التدقيق</w:t>
      </w:r>
      <w:r w:rsidRPr="00D01D5E">
        <w:rPr>
          <w:rFonts w:ascii="Traditional Arabic" w:hAnsi="Traditional Arabic" w:cs="Traditional Arabic"/>
          <w:b/>
          <w:bCs/>
          <w:sz w:val="32"/>
          <w:szCs w:val="32"/>
          <w:rtl/>
          <w:lang w:bidi="ar-DZ"/>
        </w:rPr>
        <w:t>:</w:t>
      </w:r>
    </w:p>
    <w:p w14:paraId="58E10F61" w14:textId="77777777" w:rsidR="009D2598" w:rsidRPr="00D01D5E" w:rsidRDefault="009D2598" w:rsidP="009D2598">
      <w:pPr>
        <w:tabs>
          <w:tab w:val="left" w:pos="2441"/>
        </w:tabs>
        <w:bidi/>
        <w:spacing w:after="0"/>
        <w:ind w:firstLine="510"/>
        <w:jc w:val="both"/>
        <w:rPr>
          <w:rFonts w:ascii="Traditional Arabic" w:eastAsia="Calibri" w:hAnsi="Traditional Arabic" w:cs="Traditional Arabic"/>
          <w:sz w:val="32"/>
          <w:szCs w:val="32"/>
          <w:rtl/>
          <w:lang w:bidi="ar-DZ"/>
        </w:rPr>
      </w:pPr>
      <w:r w:rsidRPr="00D01D5E">
        <w:rPr>
          <w:rFonts w:ascii="Traditional Arabic" w:eastAsia="Calibri" w:hAnsi="Traditional Arabic" w:cs="Traditional Arabic"/>
          <w:sz w:val="32"/>
          <w:szCs w:val="32"/>
          <w:rtl/>
          <w:lang w:bidi="ar-DZ"/>
        </w:rPr>
        <w:t xml:space="preserve">تتمثل مهمة لجان التدقيق أو المراجعة في تأكيد صحة البيانات والمعلومات المحاسبية الوارد بالتقارير والقوائم المالية، وذلك من خلال المراجعة الداخلية والخارجية، وقد أكدت جل الدراسات المنجزة بخصوص حوكمة الشركات ضرورة وجود لجان تدقيق داخل الشركة، فهي التي تسهر على تطبيق الحوكمة وتضمن جودة التقارير المالية وتحقيق الثقة في المعلومات المحاسبية بما يضمن جودتها وبالتالي الاعتماد عليها في اتخاذ القرارات المناسبة، وقد أكدت دراسة  </w:t>
      </w:r>
      <w:r w:rsidRPr="00D01D5E">
        <w:rPr>
          <w:rFonts w:ascii="Traditional Arabic" w:eastAsia="Calibri" w:hAnsi="Traditional Arabic" w:cs="Traditional Arabic"/>
          <w:sz w:val="32"/>
          <w:szCs w:val="32"/>
          <w:lang w:bidi="ar-DZ"/>
        </w:rPr>
        <w:t>(Memullen2004)</w:t>
      </w:r>
      <w:r w:rsidRPr="00D01D5E">
        <w:rPr>
          <w:rFonts w:ascii="Traditional Arabic" w:eastAsia="Calibri" w:hAnsi="Traditional Arabic" w:cs="Traditional Arabic"/>
          <w:sz w:val="32"/>
          <w:szCs w:val="32"/>
          <w:rtl/>
          <w:lang w:bidi="ar-DZ"/>
        </w:rPr>
        <w:t xml:space="preserve"> بخصوص دور لجان التدقيق في زيادة الثقة في المعلومات المحاسبية بأن الشركات التي توجد بها لجان تدقيق تقل بها الممارسات المالية غير الشرعية، كما يساهم الإعلان عن تشكيل لجان التدقيق في تنشيط حركة أسهم الشركة في سوق الأوراق المالية</w:t>
      </w:r>
      <w:r w:rsidRPr="00D01D5E">
        <w:rPr>
          <w:rFonts w:ascii="Traditional Arabic" w:eastAsia="Calibri" w:hAnsi="Traditional Arabic" w:cs="Traditional Arabic"/>
          <w:szCs w:val="32"/>
          <w:vertAlign w:val="superscript"/>
          <w:rtl/>
          <w:lang w:bidi="ar-DZ"/>
        </w:rPr>
        <w:footnoteReference w:id="4"/>
      </w:r>
      <w:r w:rsidRPr="00D01D5E">
        <w:rPr>
          <w:rFonts w:ascii="Traditional Arabic" w:eastAsia="Calibri" w:hAnsi="Traditional Arabic" w:cs="Traditional Arabic"/>
          <w:sz w:val="32"/>
          <w:szCs w:val="32"/>
          <w:rtl/>
          <w:lang w:bidi="ar-DZ"/>
        </w:rPr>
        <w:t>.</w:t>
      </w:r>
    </w:p>
    <w:p w14:paraId="4D17E237" w14:textId="77777777" w:rsidR="009D2598" w:rsidRPr="00D01D5E" w:rsidRDefault="009D2598" w:rsidP="009D2598">
      <w:pPr>
        <w:numPr>
          <w:ilvl w:val="0"/>
          <w:numId w:val="1"/>
        </w:numPr>
        <w:tabs>
          <w:tab w:val="left" w:pos="2441"/>
        </w:tabs>
        <w:bidi/>
        <w:spacing w:after="0"/>
        <w:contextualSpacing/>
        <w:jc w:val="both"/>
        <w:rPr>
          <w:rFonts w:ascii="Traditional Arabic" w:eastAsia="Calibri" w:hAnsi="Traditional Arabic" w:cs="Traditional Arabic"/>
          <w:sz w:val="32"/>
          <w:szCs w:val="32"/>
          <w:rtl/>
          <w:lang w:bidi="ar-DZ"/>
        </w:rPr>
      </w:pPr>
      <w:r w:rsidRPr="00D01D5E">
        <w:rPr>
          <w:rFonts w:ascii="Traditional Arabic" w:eastAsia="Calibri" w:hAnsi="Traditional Arabic" w:cs="Traditional Arabic"/>
          <w:b/>
          <w:bCs/>
          <w:sz w:val="32"/>
          <w:szCs w:val="32"/>
          <w:rtl/>
          <w:lang w:bidi="ar-DZ"/>
        </w:rPr>
        <w:t>تحقيق الإفصاح والشفافية</w:t>
      </w:r>
      <w:r w:rsidRPr="00D01D5E">
        <w:rPr>
          <w:rFonts w:ascii="Traditional Arabic" w:hAnsi="Traditional Arabic" w:cs="Traditional Arabic"/>
          <w:b/>
          <w:bCs/>
          <w:sz w:val="32"/>
          <w:szCs w:val="32"/>
          <w:rtl/>
          <w:lang w:bidi="ar-DZ"/>
        </w:rPr>
        <w:t>:</w:t>
      </w:r>
    </w:p>
    <w:p w14:paraId="284E39FD" w14:textId="77777777" w:rsidR="009D2598" w:rsidRPr="00D01D5E" w:rsidRDefault="009D2598" w:rsidP="009D2598">
      <w:pPr>
        <w:tabs>
          <w:tab w:val="left" w:pos="2441"/>
        </w:tabs>
        <w:bidi/>
        <w:spacing w:after="0"/>
        <w:ind w:firstLine="510"/>
        <w:jc w:val="both"/>
        <w:rPr>
          <w:rFonts w:ascii="Traditional Arabic" w:eastAsia="Calibri" w:hAnsi="Traditional Arabic" w:cs="Traditional Arabic"/>
          <w:sz w:val="32"/>
          <w:szCs w:val="32"/>
          <w:rtl/>
          <w:lang w:bidi="ar-DZ"/>
        </w:rPr>
      </w:pPr>
      <w:r w:rsidRPr="00D01D5E">
        <w:rPr>
          <w:rFonts w:ascii="Traditional Arabic" w:eastAsia="Calibri" w:hAnsi="Traditional Arabic" w:cs="Traditional Arabic"/>
          <w:sz w:val="32"/>
          <w:szCs w:val="32"/>
          <w:rtl/>
          <w:lang w:bidi="ar-DZ"/>
        </w:rPr>
        <w:t>كما تم التعرض له سابقا، وضمن مبادئ الحوكمة، فإن الإفصاح هو أحد المبادئ الأساسية التي تقوم عليها حوكمة الشركات، حيث أن الإفصاح الأمثل والشفافية في عرض المعلومات المتعلقة بالأداء العام للشركة، وخاصة المالي والمحاسبي، يعد من الدعائم الأساسية لنجاح تطبيق الحوكمة وإنتاج المعلومات ذات الجودة العالية، وبالتالي المساهمة في تحقيق مصالح الأطراف ذات العلاقة بالشركة</w:t>
      </w:r>
      <w:r w:rsidRPr="00D01D5E">
        <w:rPr>
          <w:rFonts w:ascii="Traditional Arabic" w:eastAsia="Calibri" w:hAnsi="Traditional Arabic" w:cs="Traditional Arabic"/>
          <w:szCs w:val="32"/>
          <w:vertAlign w:val="superscript"/>
          <w:rtl/>
          <w:lang w:bidi="ar-DZ"/>
        </w:rPr>
        <w:footnoteReference w:id="5"/>
      </w:r>
      <w:r w:rsidRPr="00D01D5E">
        <w:rPr>
          <w:rFonts w:ascii="Traditional Arabic" w:eastAsia="Calibri" w:hAnsi="Traditional Arabic" w:cs="Traditional Arabic"/>
          <w:sz w:val="32"/>
          <w:szCs w:val="32"/>
          <w:rtl/>
          <w:lang w:bidi="ar-DZ"/>
        </w:rPr>
        <w:t>.</w:t>
      </w:r>
    </w:p>
    <w:p w14:paraId="5C1368DD" w14:textId="77777777" w:rsidR="009D2598" w:rsidRPr="00D01D5E" w:rsidRDefault="009D2598" w:rsidP="009D2598">
      <w:pPr>
        <w:tabs>
          <w:tab w:val="left" w:pos="2441"/>
        </w:tabs>
        <w:bidi/>
        <w:spacing w:after="0"/>
        <w:ind w:hanging="2"/>
        <w:jc w:val="both"/>
        <w:rPr>
          <w:rFonts w:ascii="Traditional Arabic" w:eastAsia="Calibri" w:hAnsi="Traditional Arabic" w:cs="Traditional Arabic"/>
          <w:b/>
          <w:bCs/>
          <w:sz w:val="32"/>
          <w:szCs w:val="32"/>
          <w:u w:val="single"/>
          <w:rtl/>
          <w:lang w:bidi="ar-DZ"/>
        </w:rPr>
      </w:pPr>
      <w:r w:rsidRPr="00D01D5E">
        <w:rPr>
          <w:rFonts w:ascii="Traditional Arabic" w:eastAsia="Calibri" w:hAnsi="Traditional Arabic" w:cs="Traditional Arabic"/>
          <w:b/>
          <w:bCs/>
          <w:sz w:val="32"/>
          <w:szCs w:val="32"/>
          <w:u w:val="single"/>
          <w:rtl/>
          <w:lang w:bidi="ar-DZ"/>
        </w:rPr>
        <w:t>ثانيا: دور التدقيق الداخلي في تعظيم القيمة للأطراف المستفيدة من حوكمة الشركات</w:t>
      </w:r>
    </w:p>
    <w:p w14:paraId="6FAACAD6" w14:textId="77777777" w:rsidR="009D2598" w:rsidRPr="00D01D5E" w:rsidRDefault="009D2598" w:rsidP="009D2598">
      <w:pPr>
        <w:numPr>
          <w:ilvl w:val="0"/>
          <w:numId w:val="2"/>
        </w:numPr>
        <w:tabs>
          <w:tab w:val="left" w:pos="2441"/>
        </w:tabs>
        <w:bidi/>
        <w:spacing w:after="0"/>
        <w:contextualSpacing/>
        <w:jc w:val="both"/>
        <w:rPr>
          <w:rFonts w:ascii="Traditional Arabic" w:eastAsia="Calibri" w:hAnsi="Traditional Arabic" w:cs="Traditional Arabic"/>
          <w:b/>
          <w:bCs/>
          <w:sz w:val="32"/>
          <w:szCs w:val="32"/>
          <w:lang w:bidi="ar-DZ"/>
        </w:rPr>
      </w:pPr>
      <w:r w:rsidRPr="00D01D5E">
        <w:rPr>
          <w:rFonts w:ascii="Traditional Arabic" w:eastAsia="Calibri" w:hAnsi="Traditional Arabic" w:cs="Traditional Arabic"/>
          <w:b/>
          <w:bCs/>
          <w:sz w:val="32"/>
          <w:szCs w:val="32"/>
          <w:rtl/>
          <w:lang w:bidi="ar-DZ"/>
        </w:rPr>
        <w:t>تعظيم القيمة للعملاء:</w:t>
      </w:r>
    </w:p>
    <w:p w14:paraId="06346ACF" w14:textId="77777777" w:rsidR="009D2598" w:rsidRPr="003C3E31" w:rsidRDefault="009D2598" w:rsidP="009D2598">
      <w:pPr>
        <w:tabs>
          <w:tab w:val="left" w:pos="2441"/>
        </w:tabs>
        <w:bidi/>
        <w:spacing w:after="0"/>
        <w:ind w:firstLine="510"/>
        <w:contextualSpacing/>
        <w:jc w:val="both"/>
        <w:rPr>
          <w:rFonts w:ascii="Traditional Arabic" w:eastAsia="Calibri" w:hAnsi="Traditional Arabic" w:cs="Traditional Arabic"/>
          <w:sz w:val="32"/>
          <w:szCs w:val="32"/>
          <w:lang w:bidi="ar-DZ"/>
        </w:rPr>
      </w:pPr>
      <w:r w:rsidRPr="00D01D5E">
        <w:rPr>
          <w:rFonts w:ascii="Traditional Arabic" w:eastAsia="Calibri" w:hAnsi="Traditional Arabic" w:cs="Traditional Arabic"/>
          <w:sz w:val="32"/>
          <w:szCs w:val="32"/>
          <w:rtl/>
          <w:lang w:bidi="ar-DZ"/>
        </w:rPr>
        <w:t>يضع هذا الدور المدقق الداخلي أمام تحدي يتمثل في سعيه لاكتساب مهارات جديدة</w:t>
      </w:r>
      <w:r w:rsidRPr="00D01D5E">
        <w:rPr>
          <w:rFonts w:ascii="Traditional Arabic" w:eastAsia="Calibri" w:hAnsi="Traditional Arabic" w:cs="Traditional Arabic"/>
          <w:b/>
          <w:bCs/>
          <w:sz w:val="32"/>
          <w:szCs w:val="32"/>
          <w:rtl/>
          <w:lang w:bidi="ar-DZ"/>
        </w:rPr>
        <w:t xml:space="preserve"> </w:t>
      </w:r>
      <w:r w:rsidRPr="00D01D5E">
        <w:rPr>
          <w:rFonts w:ascii="Traditional Arabic" w:eastAsia="Calibri" w:hAnsi="Traditional Arabic" w:cs="Traditional Arabic"/>
          <w:sz w:val="32"/>
          <w:szCs w:val="32"/>
          <w:rtl/>
          <w:lang w:bidi="ar-DZ"/>
        </w:rPr>
        <w:t>تساير التطور في مختلف مجالات العمل في الشركة، ليس هذا فحسب بل تطوير آليات تنفيذ مهامه بما يدعم جهود الشركة في تعظيم القيمة أو المنفعة المتحققة للعميل، في إطار تغيير النظرة إليه من مجرد مستهلك لمنتجات وخدمات الشركة إلى شريك في عملية الحوكمة، وطالما أن فاعلية تنفيذ الحوكمة تتوقف على كفاءة الرقابة الداخلية في الشركة، فهناك يتضح بعد أخر لدور المدقق الداخلي في زيادة القيمة المتحققة للعميل، من خلال سعيه إلى التقييم الفعال للنظم الرقابية، وتقديم التوصيات الكفيلة برفع مستوى جودتها.</w:t>
      </w:r>
      <w:r w:rsidRPr="00D01D5E">
        <w:rPr>
          <w:rFonts w:ascii="Traditional Arabic" w:eastAsia="Calibri" w:hAnsi="Traditional Arabic" w:cs="Traditional Arabic"/>
          <w:b/>
          <w:bCs/>
          <w:sz w:val="32"/>
          <w:vertAlign w:val="superscript"/>
          <w:lang w:bidi="ar-DZ"/>
        </w:rPr>
        <w:footnoteReference w:id="6"/>
      </w:r>
    </w:p>
    <w:p w14:paraId="23F22C71" w14:textId="77777777" w:rsidR="009D2598" w:rsidRPr="00D01D5E" w:rsidRDefault="009D2598" w:rsidP="009D2598">
      <w:pPr>
        <w:numPr>
          <w:ilvl w:val="0"/>
          <w:numId w:val="2"/>
        </w:numPr>
        <w:tabs>
          <w:tab w:val="left" w:pos="2441"/>
        </w:tabs>
        <w:bidi/>
        <w:spacing w:after="0"/>
        <w:contextualSpacing/>
        <w:jc w:val="both"/>
        <w:rPr>
          <w:rFonts w:ascii="Traditional Arabic" w:eastAsia="Calibri" w:hAnsi="Traditional Arabic" w:cs="Traditional Arabic"/>
          <w:b/>
          <w:bCs/>
          <w:sz w:val="32"/>
          <w:szCs w:val="32"/>
          <w:lang w:bidi="ar-DZ"/>
        </w:rPr>
      </w:pPr>
      <w:r w:rsidRPr="00D01D5E">
        <w:rPr>
          <w:rFonts w:ascii="Traditional Arabic" w:eastAsia="Calibri" w:hAnsi="Traditional Arabic" w:cs="Traditional Arabic"/>
          <w:b/>
          <w:bCs/>
          <w:sz w:val="32"/>
          <w:szCs w:val="32"/>
          <w:rtl/>
          <w:lang w:bidi="ar-DZ"/>
        </w:rPr>
        <w:t xml:space="preserve">تعظيم القيمة للمساهمين: </w:t>
      </w:r>
    </w:p>
    <w:p w14:paraId="1C9FA918" w14:textId="77777777" w:rsidR="009D2598" w:rsidRPr="00D01D5E" w:rsidRDefault="009D2598" w:rsidP="009D2598">
      <w:pPr>
        <w:tabs>
          <w:tab w:val="left" w:pos="2441"/>
        </w:tabs>
        <w:bidi/>
        <w:spacing w:after="0"/>
        <w:ind w:firstLine="510"/>
        <w:contextualSpacing/>
        <w:jc w:val="both"/>
        <w:rPr>
          <w:rFonts w:ascii="Traditional Arabic" w:eastAsia="Calibri" w:hAnsi="Traditional Arabic" w:cs="Traditional Arabic"/>
          <w:sz w:val="32"/>
          <w:szCs w:val="32"/>
          <w:lang w:bidi="ar-DZ"/>
        </w:rPr>
      </w:pPr>
      <w:r w:rsidRPr="00D01D5E">
        <w:rPr>
          <w:rFonts w:ascii="Traditional Arabic" w:eastAsia="Calibri" w:hAnsi="Traditional Arabic" w:cs="Traditional Arabic"/>
          <w:sz w:val="32"/>
          <w:szCs w:val="32"/>
          <w:rtl/>
          <w:lang w:bidi="ar-DZ"/>
        </w:rPr>
        <w:t>ينوب مجلس الإدارة عن المساهمين في إدارة أموالهم، وهذا يعني أن المجلس مسؤول بالوكالة عن الوفاء باحتياجات ومصالح المساهمين، والمتمثلة في ضرورة الإفصاح عن مدى فاعليته في إدارة ما أوكل إليه من مهام حيث تمثل التقارير المالية التي يشرف مجلس الإدارة على إعدادها معيارا يتم على أساسه اتخاذ قرارات وسلوكيات من طرف المستثمرين الحاليين والمرتقبين، وهنا يتضح دور التدقيق الداخلي كعنصر فعال في ضمان دقة ونزاهة التقارير المالية وتعزيز قدرة المساهمين على مساءلة مجلس إدارة الشركة، وكذا مساهمتها بالتعاون مع الإدارات المسؤولة في الحد من المخاطر التي تتعرض لها الشركة، ومما يدعم الدور الذي يؤديه فريق التدقيق الداخلي وجوده في موقع الأحداث يعايشها لحظة بلحظة بالشركة، حيث تساعده هذه الميزة مما يضمن الاستخدام الأمثل لأصول الشركة، وحمايتها من الأخطار التي قد تنشأ نتيجة الغش أو عدم الالتزام بالقوانين والإجراءات المطبقة في الشركة</w:t>
      </w:r>
      <w:r w:rsidRPr="00D01D5E">
        <w:rPr>
          <w:rFonts w:ascii="Traditional Arabic" w:hAnsi="Traditional Arabic" w:cs="Traditional Arabic"/>
          <w:sz w:val="24"/>
          <w:szCs w:val="24"/>
          <w:rtl/>
        </w:rPr>
        <w:footnoteReference w:id="7"/>
      </w:r>
      <w:r w:rsidRPr="00D01D5E">
        <w:rPr>
          <w:rFonts w:ascii="Traditional Arabic" w:eastAsia="Calibri" w:hAnsi="Traditional Arabic" w:cs="Traditional Arabic"/>
          <w:sz w:val="24"/>
          <w:szCs w:val="24"/>
          <w:rtl/>
          <w:lang w:bidi="ar-DZ"/>
        </w:rPr>
        <w:t>.</w:t>
      </w:r>
    </w:p>
    <w:p w14:paraId="3426C07B" w14:textId="77777777" w:rsidR="009D2598" w:rsidRPr="00D01D5E" w:rsidRDefault="009D2598" w:rsidP="009D2598">
      <w:pPr>
        <w:numPr>
          <w:ilvl w:val="0"/>
          <w:numId w:val="2"/>
        </w:numPr>
        <w:tabs>
          <w:tab w:val="left" w:pos="2441"/>
        </w:tabs>
        <w:bidi/>
        <w:spacing w:after="0"/>
        <w:contextualSpacing/>
        <w:jc w:val="both"/>
        <w:rPr>
          <w:rFonts w:ascii="Traditional Arabic" w:eastAsia="Calibri" w:hAnsi="Traditional Arabic" w:cs="Traditional Arabic"/>
          <w:b/>
          <w:bCs/>
          <w:sz w:val="32"/>
          <w:szCs w:val="32"/>
          <w:lang w:bidi="ar-DZ"/>
        </w:rPr>
      </w:pPr>
      <w:r w:rsidRPr="00D01D5E">
        <w:rPr>
          <w:rFonts w:ascii="Traditional Arabic" w:eastAsia="Calibri" w:hAnsi="Traditional Arabic" w:cs="Traditional Arabic"/>
          <w:b/>
          <w:bCs/>
          <w:sz w:val="32"/>
          <w:szCs w:val="32"/>
          <w:rtl/>
          <w:lang w:bidi="ar-DZ"/>
        </w:rPr>
        <w:t>تعظيم القيمة لأصحاب المصالح:</w:t>
      </w:r>
    </w:p>
    <w:p w14:paraId="4DB30274" w14:textId="77777777" w:rsidR="009D2598" w:rsidRDefault="009D2598" w:rsidP="009D2598">
      <w:pPr>
        <w:tabs>
          <w:tab w:val="left" w:pos="2441"/>
        </w:tabs>
        <w:bidi/>
        <w:spacing w:after="0"/>
        <w:ind w:firstLine="510"/>
        <w:contextualSpacing/>
        <w:jc w:val="both"/>
        <w:rPr>
          <w:rFonts w:ascii="Traditional Arabic" w:eastAsia="Calibri" w:hAnsi="Traditional Arabic" w:cs="Traditional Arabic"/>
          <w:sz w:val="32"/>
          <w:szCs w:val="32"/>
          <w:lang w:bidi="ar-DZ"/>
        </w:rPr>
      </w:pPr>
      <w:r w:rsidRPr="00D01D5E">
        <w:rPr>
          <w:rFonts w:ascii="Traditional Arabic" w:eastAsia="Calibri" w:hAnsi="Traditional Arabic" w:cs="Traditional Arabic"/>
          <w:sz w:val="32"/>
          <w:szCs w:val="32"/>
          <w:rtl/>
          <w:lang w:bidi="ar-DZ"/>
        </w:rPr>
        <w:t xml:space="preserve"> يتمثل أصحاب المصالح في الموظفين والموردين والدائنين والاتحادات النقابية والمجتمع المحيط، الذين لهم مصالح فردية أو جماعية في نجاح الشركة واستمراريتها، فهي التي توفر فرص العمل وتدفع الضرائب وتقدم السلع والخدمات، فاستمرارية الشركة تمثل مصلحة مشتركة للمساهمين والأطراف الأخرى المرتبطة والمتأثرة بنشاطها، ولا تتوقف استمرارية الشركة فقط على مدى كفاءة وفعالية عملياتها، بل أيضا التحسين المستمر لتلك العمليات، وهنا يبرز دور التدقيق الداخلي حيث يمكنه من خلال التقييم الذاتي لنظم الرقابة الداخلية، ومساهمتها في إدارة المخاطر وتعزيز قدرة المساهمين على مساءلة مجلس إدارة الشركة والرفع من مستوى وجودة كفاءة عمليات الشركة وتعظيم ما يتولد عنها من قيمة أو منفعة لأصحاب المصالح</w:t>
      </w:r>
      <w:r w:rsidRPr="00D01D5E">
        <w:rPr>
          <w:rFonts w:ascii="Traditional Arabic" w:hAnsi="Traditional Arabic" w:cs="Traditional Arabic"/>
          <w:sz w:val="24"/>
          <w:szCs w:val="24"/>
          <w:rtl/>
        </w:rPr>
        <w:footnoteReference w:id="8"/>
      </w:r>
      <w:r w:rsidRPr="00D01D5E">
        <w:rPr>
          <w:rFonts w:ascii="Traditional Arabic" w:eastAsia="Calibri" w:hAnsi="Traditional Arabic" w:cs="Traditional Arabic"/>
          <w:sz w:val="32"/>
          <w:szCs w:val="32"/>
          <w:rtl/>
          <w:lang w:bidi="ar-DZ"/>
        </w:rPr>
        <w:t xml:space="preserve">.  </w:t>
      </w:r>
    </w:p>
    <w:p w14:paraId="70EA7C94" w14:textId="77777777" w:rsidR="008D496C" w:rsidRDefault="008D496C">
      <w:bookmarkStart w:id="0" w:name="_GoBack"/>
      <w:bookmarkEnd w:id="0"/>
    </w:p>
    <w:sectPr w:rsidR="008D496C" w:rsidSect="00413B7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FACCE" w14:textId="77777777" w:rsidR="00941FC0" w:rsidRDefault="00941FC0" w:rsidP="009D2598">
      <w:pPr>
        <w:spacing w:after="0" w:line="240" w:lineRule="auto"/>
      </w:pPr>
      <w:r>
        <w:separator/>
      </w:r>
    </w:p>
  </w:endnote>
  <w:endnote w:type="continuationSeparator" w:id="0">
    <w:p w14:paraId="2A3DF06B" w14:textId="77777777" w:rsidR="00941FC0" w:rsidRDefault="00941FC0" w:rsidP="009D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6C488" w14:textId="77777777" w:rsidR="00941FC0" w:rsidRDefault="00941FC0" w:rsidP="009D2598">
      <w:pPr>
        <w:spacing w:after="0" w:line="240" w:lineRule="auto"/>
      </w:pPr>
      <w:r>
        <w:separator/>
      </w:r>
    </w:p>
  </w:footnote>
  <w:footnote w:type="continuationSeparator" w:id="0">
    <w:p w14:paraId="3AF68D48" w14:textId="77777777" w:rsidR="00941FC0" w:rsidRDefault="00941FC0" w:rsidP="009D2598">
      <w:pPr>
        <w:spacing w:after="0" w:line="240" w:lineRule="auto"/>
      </w:pPr>
      <w:r>
        <w:continuationSeparator/>
      </w:r>
    </w:p>
  </w:footnote>
  <w:footnote w:id="1">
    <w:p w14:paraId="6771F8D3" w14:textId="77777777" w:rsidR="009D2598" w:rsidRDefault="009D2598" w:rsidP="009D2598">
      <w:pPr>
        <w:pStyle w:val="FootnoteText"/>
        <w:bidi/>
        <w:jc w:val="both"/>
        <w:rPr>
          <w:rtl/>
          <w:lang w:bidi="ar-DZ"/>
        </w:rPr>
      </w:pPr>
      <w:r>
        <w:rPr>
          <w:rStyle w:val="FootnoteReference"/>
        </w:rPr>
        <w:footnoteRef/>
      </w:r>
      <w:r>
        <w:t xml:space="preserve"> </w:t>
      </w:r>
      <w:r>
        <w:rPr>
          <w:rFonts w:hint="cs"/>
          <w:rtl/>
          <w:lang w:bidi="ar-DZ"/>
        </w:rPr>
        <w:t xml:space="preserve">- عمر اقبال توفيق المشهداني، </w:t>
      </w:r>
      <w:r w:rsidRPr="00CC7C43">
        <w:rPr>
          <w:rFonts w:hint="cs"/>
          <w:b/>
          <w:bCs/>
          <w:u w:val="single"/>
          <w:rtl/>
          <w:lang w:bidi="ar-DZ"/>
        </w:rPr>
        <w:t>تدقيق التحكم المؤسسي في ظل معايير التدقيق المتعارف عليها</w:t>
      </w:r>
      <w:r>
        <w:rPr>
          <w:rFonts w:hint="cs"/>
          <w:rtl/>
          <w:lang w:bidi="ar-DZ"/>
        </w:rPr>
        <w:t>، مجلة اداء المؤسسات الجزائرية، العدد 02،2012، ص227،228.</w:t>
      </w:r>
    </w:p>
    <w:p w14:paraId="1A63AAF2" w14:textId="77777777" w:rsidR="009D2598" w:rsidRPr="00EE6B14" w:rsidRDefault="009D2598" w:rsidP="009D2598">
      <w:pPr>
        <w:pStyle w:val="FootnoteText"/>
        <w:bidi/>
        <w:jc w:val="both"/>
        <w:rPr>
          <w:rtl/>
          <w:lang w:bidi="ar-DZ"/>
        </w:rPr>
      </w:pPr>
    </w:p>
  </w:footnote>
  <w:footnote w:id="2">
    <w:p w14:paraId="7CA1B5CA" w14:textId="77777777" w:rsidR="009D2598" w:rsidRPr="00EE6B14" w:rsidRDefault="009D2598" w:rsidP="009D2598">
      <w:pPr>
        <w:pStyle w:val="FootnoteText"/>
        <w:bidi/>
        <w:jc w:val="both"/>
        <w:rPr>
          <w:rtl/>
          <w:lang w:bidi="ar-DZ"/>
        </w:rPr>
      </w:pPr>
      <w:r>
        <w:rPr>
          <w:rStyle w:val="FootnoteReference"/>
        </w:rPr>
        <w:footnoteRef/>
      </w:r>
      <w:r>
        <w:t xml:space="preserve"> </w:t>
      </w:r>
      <w:r>
        <w:rPr>
          <w:rFonts w:hint="cs"/>
          <w:rtl/>
          <w:lang w:bidi="ar-DZ"/>
        </w:rPr>
        <w:t xml:space="preserve">- </w:t>
      </w:r>
      <w:r>
        <w:rPr>
          <w:rFonts w:hint="cs"/>
          <w:rtl/>
          <w:lang w:bidi="ar-DZ"/>
        </w:rPr>
        <w:t>عمر اقبال توفيق المشهداني، مرجع سابق، ص 227.</w:t>
      </w:r>
    </w:p>
  </w:footnote>
  <w:footnote w:id="3">
    <w:p w14:paraId="62C80935" w14:textId="77777777" w:rsidR="009D2598" w:rsidRPr="00EE6B14" w:rsidRDefault="009D2598" w:rsidP="009D2598">
      <w:pPr>
        <w:pStyle w:val="FootnoteText"/>
        <w:bidi/>
        <w:jc w:val="both"/>
        <w:rPr>
          <w:rtl/>
          <w:lang w:bidi="ar-DZ"/>
        </w:rPr>
      </w:pPr>
      <w:r>
        <w:rPr>
          <w:rStyle w:val="FootnoteReference"/>
        </w:rPr>
        <w:footnoteRef/>
      </w:r>
      <w:r>
        <w:t xml:space="preserve"> </w:t>
      </w:r>
      <w:r>
        <w:rPr>
          <w:rFonts w:hint="cs"/>
          <w:rtl/>
          <w:lang w:bidi="ar-DZ"/>
        </w:rPr>
        <w:t>-</w:t>
      </w:r>
      <w:r w:rsidRPr="007D41B6">
        <w:rPr>
          <w:rFonts w:hint="cs"/>
          <w:rtl/>
          <w:lang w:bidi="ar-DZ"/>
        </w:rPr>
        <w:t xml:space="preserve"> </w:t>
      </w:r>
      <w:r>
        <w:rPr>
          <w:rFonts w:hint="cs"/>
          <w:rtl/>
          <w:lang w:bidi="ar-DZ"/>
        </w:rPr>
        <w:t>المرجع نفسه، ص227.</w:t>
      </w:r>
    </w:p>
  </w:footnote>
  <w:footnote w:id="4">
    <w:p w14:paraId="2F1615CA" w14:textId="77777777" w:rsidR="009D2598" w:rsidRPr="00EE6B14" w:rsidRDefault="009D2598" w:rsidP="009D2598">
      <w:pPr>
        <w:pStyle w:val="FootnoteText"/>
        <w:bidi/>
        <w:jc w:val="both"/>
        <w:rPr>
          <w:rtl/>
          <w:lang w:bidi="ar-DZ"/>
        </w:rPr>
      </w:pPr>
      <w:r>
        <w:rPr>
          <w:rStyle w:val="FootnoteReference"/>
        </w:rPr>
        <w:footnoteRef/>
      </w:r>
      <w:r>
        <w:t xml:space="preserve"> </w:t>
      </w:r>
      <w:r>
        <w:rPr>
          <w:rFonts w:hint="cs"/>
          <w:rtl/>
          <w:lang w:bidi="ar-DZ"/>
        </w:rPr>
        <w:t xml:space="preserve">- </w:t>
      </w:r>
      <w:r>
        <w:rPr>
          <w:rFonts w:hint="cs"/>
          <w:rtl/>
          <w:lang w:bidi="ar-DZ"/>
        </w:rPr>
        <w:t>نفس المرجع، ص 227</w:t>
      </w:r>
    </w:p>
  </w:footnote>
  <w:footnote w:id="5">
    <w:p w14:paraId="7D4EB08F" w14:textId="77777777" w:rsidR="009D2598" w:rsidRPr="006803DC" w:rsidRDefault="009D2598" w:rsidP="009D2598">
      <w:pPr>
        <w:pStyle w:val="FootnoteText"/>
        <w:bidi/>
        <w:jc w:val="both"/>
        <w:rPr>
          <w:rtl/>
          <w:lang w:bidi="ar-DZ"/>
        </w:rPr>
      </w:pPr>
      <w:r>
        <w:rPr>
          <w:rStyle w:val="FootnoteReference"/>
        </w:rPr>
        <w:footnoteRef/>
      </w:r>
      <w:r>
        <w:t xml:space="preserve"> </w:t>
      </w:r>
      <w:r>
        <w:rPr>
          <w:rFonts w:hint="cs"/>
          <w:rtl/>
          <w:lang w:bidi="ar-DZ"/>
        </w:rPr>
        <w:t xml:space="preserve">- </w:t>
      </w:r>
      <w:r>
        <w:rPr>
          <w:rFonts w:hint="cs"/>
          <w:rtl/>
          <w:lang w:bidi="ar-DZ"/>
        </w:rPr>
        <w:t>المرجع نفسه، ص228.</w:t>
      </w:r>
    </w:p>
  </w:footnote>
  <w:footnote w:id="6">
    <w:p w14:paraId="4ED85768" w14:textId="77777777" w:rsidR="009D2598" w:rsidRDefault="009D2598" w:rsidP="009D2598">
      <w:pPr>
        <w:pStyle w:val="FootnoteText"/>
        <w:bidi/>
        <w:jc w:val="both"/>
        <w:rPr>
          <w:rtl/>
          <w:lang w:bidi="ar-DZ"/>
        </w:rPr>
      </w:pPr>
      <w:r>
        <w:rPr>
          <w:rStyle w:val="FootnoteReference"/>
        </w:rPr>
        <w:footnoteRef/>
      </w:r>
      <w:r>
        <w:t xml:space="preserve"> </w:t>
      </w:r>
      <w:r>
        <w:rPr>
          <w:rFonts w:hint="cs"/>
          <w:rtl/>
          <w:lang w:bidi="ar-DZ"/>
        </w:rPr>
        <w:t xml:space="preserve">- </w:t>
      </w:r>
      <w:r>
        <w:rPr>
          <w:rFonts w:hint="cs"/>
          <w:rtl/>
          <w:lang w:bidi="ar-DZ"/>
        </w:rPr>
        <w:t>أوصيف لخضر، مرجع سابق، ص 90.</w:t>
      </w:r>
    </w:p>
  </w:footnote>
  <w:footnote w:id="7">
    <w:p w14:paraId="5C9E1B8D" w14:textId="77777777" w:rsidR="009D2598" w:rsidRDefault="009D2598" w:rsidP="009D2598">
      <w:pPr>
        <w:pStyle w:val="FootnoteText"/>
        <w:bidi/>
        <w:jc w:val="both"/>
        <w:rPr>
          <w:lang w:bidi="ar-DZ"/>
        </w:rPr>
      </w:pPr>
      <w:r>
        <w:rPr>
          <w:rStyle w:val="FootnoteReference"/>
        </w:rPr>
        <w:footnoteRef/>
      </w:r>
      <w:r>
        <w:t xml:space="preserve"> </w:t>
      </w:r>
      <w:r>
        <w:rPr>
          <w:rFonts w:hint="cs"/>
          <w:rtl/>
          <w:lang w:bidi="ar-DZ"/>
        </w:rPr>
        <w:t xml:space="preserve">- </w:t>
      </w:r>
      <w:r>
        <w:rPr>
          <w:rFonts w:hint="cs"/>
          <w:rtl/>
          <w:lang w:bidi="ar-DZ"/>
        </w:rPr>
        <w:t>المرجع نفسه، ص90.</w:t>
      </w:r>
    </w:p>
  </w:footnote>
  <w:footnote w:id="8">
    <w:p w14:paraId="3893EA35" w14:textId="77777777" w:rsidR="009D2598" w:rsidRDefault="009D2598" w:rsidP="009D2598">
      <w:pPr>
        <w:pStyle w:val="FootnoteText"/>
        <w:bidi/>
        <w:jc w:val="both"/>
        <w:rPr>
          <w:rtl/>
          <w:lang w:bidi="ar-DZ"/>
        </w:rPr>
      </w:pPr>
      <w:r>
        <w:rPr>
          <w:rStyle w:val="FootnoteReference"/>
        </w:rPr>
        <w:footnoteRef/>
      </w:r>
      <w:r>
        <w:t xml:space="preserve"> </w:t>
      </w:r>
      <w:r>
        <w:rPr>
          <w:rFonts w:hint="cs"/>
          <w:rtl/>
          <w:lang w:bidi="ar-DZ"/>
        </w:rPr>
        <w:t xml:space="preserve">- </w:t>
      </w:r>
      <w:r>
        <w:rPr>
          <w:rFonts w:hint="cs"/>
          <w:rtl/>
          <w:lang w:bidi="ar-DZ"/>
        </w:rPr>
        <w:t>أوصيف لخضر، مرجع سابق، ص91.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71A0C"/>
    <w:multiLevelType w:val="hybridMultilevel"/>
    <w:tmpl w:val="3132BECC"/>
    <w:lvl w:ilvl="0" w:tplc="9154B1B2">
      <w:start w:val="1"/>
      <w:numFmt w:val="decimal"/>
      <w:lvlText w:val="%1."/>
      <w:lvlJc w:val="left"/>
      <w:pPr>
        <w:ind w:left="720" w:hanging="360"/>
      </w:pPr>
      <w:rPr>
        <w:rFonts w:ascii="Traditional Arabic" w:eastAsiaTheme="minorHAns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BF672C"/>
    <w:multiLevelType w:val="hybridMultilevel"/>
    <w:tmpl w:val="44D86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98"/>
    <w:rsid w:val="00413B7B"/>
    <w:rsid w:val="008D496C"/>
    <w:rsid w:val="00941FC0"/>
    <w:rsid w:val="009D2598"/>
    <w:rsid w:val="009F32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55F02"/>
  <w15:chartTrackingRefBased/>
  <w15:docId w15:val="{DA8CC9FD-408C-45BD-82AB-F9FB0CB6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348" w:lineRule="exact"/>
        <w:ind w:right="142"/>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98"/>
    <w:pPr>
      <w:spacing w:after="200" w:line="276" w:lineRule="auto"/>
      <w:ind w:right="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D2598"/>
    <w:pPr>
      <w:spacing w:after="0" w:line="240" w:lineRule="auto"/>
    </w:pPr>
    <w:rPr>
      <w:sz w:val="20"/>
      <w:szCs w:val="20"/>
    </w:rPr>
  </w:style>
  <w:style w:type="character" w:customStyle="1" w:styleId="FootnoteTextChar">
    <w:name w:val="Footnote Text Char"/>
    <w:basedOn w:val="DefaultParagraphFont"/>
    <w:link w:val="FootnoteText"/>
    <w:uiPriority w:val="99"/>
    <w:rsid w:val="009D2598"/>
    <w:rPr>
      <w:sz w:val="20"/>
      <w:szCs w:val="20"/>
    </w:rPr>
  </w:style>
  <w:style w:type="character" w:styleId="FootnoteReference">
    <w:name w:val="footnote reference"/>
    <w:basedOn w:val="DefaultParagraphFont"/>
    <w:uiPriority w:val="99"/>
    <w:semiHidden/>
    <w:unhideWhenUsed/>
    <w:rsid w:val="009D25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4412</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 guebli</dc:creator>
  <cp:keywords/>
  <dc:description/>
  <cp:lastModifiedBy>nabil guebli</cp:lastModifiedBy>
  <cp:revision>1</cp:revision>
  <cp:lastPrinted>2025-02-01T06:51:00Z</cp:lastPrinted>
  <dcterms:created xsi:type="dcterms:W3CDTF">2025-02-01T06:51:00Z</dcterms:created>
  <dcterms:modified xsi:type="dcterms:W3CDTF">2025-02-01T06:51:00Z</dcterms:modified>
</cp:coreProperties>
</file>