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D1" w:rsidRDefault="00927975" w:rsidP="0092797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التعريف ب</w:t>
      </w:r>
      <w:r w:rsidR="00FB0604" w:rsidRPr="00FB060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مقياس </w:t>
      </w:r>
      <w:r w:rsidR="00FB060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الاقتصاد الجزئي المعمق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43"/>
        <w:gridCol w:w="4943"/>
      </w:tblGrid>
      <w:tr w:rsidR="00212E39" w:rsidTr="00212E39">
        <w:tc>
          <w:tcPr>
            <w:tcW w:w="4943" w:type="dxa"/>
          </w:tcPr>
          <w:p w:rsidR="00212E39" w:rsidRPr="00F778DE" w:rsidRDefault="00212E39" w:rsidP="00927975">
            <w:pPr>
              <w:jc w:val="right"/>
              <w:rPr>
                <w:rFonts w:ascii="Traditional Arabic" w:hAnsi="Traditional Arabic" w:cs="Traditional Arabic"/>
                <w:sz w:val="40"/>
                <w:szCs w:val="4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التعريف</w:t>
            </w:r>
          </w:p>
        </w:tc>
        <w:tc>
          <w:tcPr>
            <w:tcW w:w="4943" w:type="dxa"/>
          </w:tcPr>
          <w:p w:rsidR="00212E39" w:rsidRDefault="00212E39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خصائص المقياس</w:t>
            </w:r>
          </w:p>
        </w:tc>
      </w:tr>
      <w:tr w:rsidR="00212E39" w:rsidTr="00212E39">
        <w:tc>
          <w:tcPr>
            <w:tcW w:w="4943" w:type="dxa"/>
          </w:tcPr>
          <w:p w:rsidR="00212E39" w:rsidRDefault="00212E39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</w:pPr>
            <w:r w:rsidRPr="00212E39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DZ"/>
              </w:rPr>
              <w:t>العلوم</w:t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212E39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DZ"/>
              </w:rPr>
              <w:t>الاقتصادية</w:t>
            </w:r>
          </w:p>
        </w:tc>
        <w:tc>
          <w:tcPr>
            <w:tcW w:w="4943" w:type="dxa"/>
          </w:tcPr>
          <w:p w:rsidR="00212E39" w:rsidRPr="00F778DE" w:rsidRDefault="00212E39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</w:pPr>
            <w:r w:rsidRPr="00F778D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الشعبة</w:t>
            </w:r>
          </w:p>
        </w:tc>
      </w:tr>
      <w:tr w:rsidR="00212E39" w:rsidTr="00212E39">
        <w:tc>
          <w:tcPr>
            <w:tcW w:w="4943" w:type="dxa"/>
          </w:tcPr>
          <w:p w:rsidR="00212E39" w:rsidRDefault="00212E39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</w:pPr>
            <w:r w:rsidRPr="00212E39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DZ"/>
              </w:rPr>
              <w:t>اقتصاد</w:t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212E39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DZ"/>
              </w:rPr>
              <w:t>وتسيير</w:t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212E39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DZ"/>
              </w:rPr>
              <w:t>المؤسسة</w:t>
            </w:r>
          </w:p>
        </w:tc>
        <w:tc>
          <w:tcPr>
            <w:tcW w:w="4943" w:type="dxa"/>
          </w:tcPr>
          <w:p w:rsidR="00212E39" w:rsidRPr="00F778DE" w:rsidRDefault="00212E39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</w:pPr>
            <w:r w:rsidRPr="00F778D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التخصص</w:t>
            </w:r>
          </w:p>
        </w:tc>
      </w:tr>
      <w:tr w:rsidR="00212E39" w:rsidTr="00212E39">
        <w:tc>
          <w:tcPr>
            <w:tcW w:w="4943" w:type="dxa"/>
          </w:tcPr>
          <w:p w:rsidR="00212E39" w:rsidRPr="00972C2E" w:rsidRDefault="00972C2E" w:rsidP="0092797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97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3سا، 1سا30 للمحاضرة، 1سا30 للعمال الموجهة</w:t>
            </w:r>
          </w:p>
        </w:tc>
        <w:tc>
          <w:tcPr>
            <w:tcW w:w="4943" w:type="dxa"/>
          </w:tcPr>
          <w:p w:rsidR="00212E39" w:rsidRPr="00F778DE" w:rsidRDefault="00972C2E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</w:pPr>
            <w:proofErr w:type="gramStart"/>
            <w:r w:rsidRPr="00F778D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الحجم</w:t>
            </w:r>
            <w:proofErr w:type="gramEnd"/>
            <w:r w:rsidRPr="00F778D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الساعي</w:t>
            </w:r>
          </w:p>
        </w:tc>
      </w:tr>
      <w:tr w:rsidR="00212E39" w:rsidTr="00212E39">
        <w:tc>
          <w:tcPr>
            <w:tcW w:w="4943" w:type="dxa"/>
          </w:tcPr>
          <w:p w:rsidR="00212E39" w:rsidRPr="00972C2E" w:rsidRDefault="00972C2E" w:rsidP="00927975">
            <w:pPr>
              <w:jc w:val="right"/>
              <w:rPr>
                <w:rFonts w:ascii="Traditional Arabic" w:hAnsi="Traditional Arabic" w:cs="Traditional Arabic"/>
                <w:sz w:val="40"/>
                <w:szCs w:val="40"/>
                <w:lang w:bidi="ar-DZ"/>
              </w:rPr>
            </w:pPr>
            <w:r w:rsidRPr="00972C2E"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DZ"/>
              </w:rPr>
              <w:t>2</w:t>
            </w:r>
          </w:p>
        </w:tc>
        <w:tc>
          <w:tcPr>
            <w:tcW w:w="4943" w:type="dxa"/>
          </w:tcPr>
          <w:p w:rsidR="00212E39" w:rsidRPr="00F778DE" w:rsidRDefault="00972C2E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</w:pPr>
            <w:r w:rsidRPr="00F778D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المعامل</w:t>
            </w:r>
          </w:p>
        </w:tc>
      </w:tr>
      <w:tr w:rsidR="00212E39" w:rsidTr="00212E39">
        <w:tc>
          <w:tcPr>
            <w:tcW w:w="4943" w:type="dxa"/>
          </w:tcPr>
          <w:p w:rsidR="00972C2E" w:rsidRDefault="00972C2E" w:rsidP="00972C2E">
            <w:pPr>
              <w:bidi/>
              <w:ind w:left="-1"/>
              <w:jc w:val="both"/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</w:pPr>
            <w:r w:rsidRPr="00972C2E"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proofErr w:type="gramStart"/>
            <w:r w:rsidRPr="00972C2E"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  <w:t>تقييم</w:t>
            </w:r>
            <w:proofErr w:type="gramEnd"/>
            <w:r w:rsidRPr="00972C2E"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  <w:t xml:space="preserve"> مستمر + امتحان نهائي ويقاس معدل المادة بالوزن الترجيحي للدروس (60%) والأعمال الموجهة (40%)</w:t>
            </w:r>
            <w:r w:rsidR="006A7C7B"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. </w:t>
            </w:r>
          </w:p>
          <w:p w:rsidR="006A7C7B" w:rsidRPr="00972C2E" w:rsidRDefault="006A7C7B" w:rsidP="006A7C7B">
            <w:pPr>
              <w:bidi/>
              <w:ind w:left="-1"/>
              <w:jc w:val="both"/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</w:pPr>
            <w:proofErr w:type="gramStart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مقياس</w:t>
            </w:r>
            <w:proofErr w:type="gramEnd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 سداسي</w:t>
            </w:r>
          </w:p>
          <w:p w:rsidR="00212E39" w:rsidRDefault="00212E39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</w:pPr>
          </w:p>
        </w:tc>
        <w:tc>
          <w:tcPr>
            <w:tcW w:w="4943" w:type="dxa"/>
          </w:tcPr>
          <w:p w:rsidR="00DA6692" w:rsidRPr="00F778DE" w:rsidRDefault="00972C2E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</w:pPr>
            <w:proofErr w:type="gramStart"/>
            <w:r w:rsidRPr="00F778D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طريقة</w:t>
            </w:r>
            <w:proofErr w:type="gramEnd"/>
            <w:r w:rsidRPr="00F778D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التقييم</w:t>
            </w:r>
          </w:p>
          <w:p w:rsidR="00212E39" w:rsidRPr="00DA6692" w:rsidRDefault="00212E39" w:rsidP="00DA6692">
            <w:pPr>
              <w:jc w:val="right"/>
              <w:rPr>
                <w:rFonts w:ascii="Traditional Arabic" w:hAnsi="Traditional Arabic" w:cs="Traditional Arabic"/>
                <w:sz w:val="40"/>
                <w:szCs w:val="40"/>
                <w:lang w:bidi="ar-DZ"/>
              </w:rPr>
            </w:pPr>
          </w:p>
        </w:tc>
      </w:tr>
      <w:tr w:rsidR="00DA6692" w:rsidTr="00212E39">
        <w:tc>
          <w:tcPr>
            <w:tcW w:w="4943" w:type="dxa"/>
          </w:tcPr>
          <w:p w:rsidR="00DA6692" w:rsidRDefault="00073E32" w:rsidP="00972C2E">
            <w:pPr>
              <w:bidi/>
              <w:ind w:left="-1"/>
              <w:jc w:val="both"/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المحاضرة: </w:t>
            </w:r>
            <w:proofErr w:type="spellStart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أ.د</w:t>
            </w:r>
            <w:proofErr w:type="spellEnd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. </w:t>
            </w:r>
            <w:proofErr w:type="spellStart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مونية</w:t>
            </w:r>
            <w:proofErr w:type="spellEnd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خلفاوي</w:t>
            </w:r>
            <w:proofErr w:type="spellEnd"/>
          </w:p>
          <w:p w:rsidR="00073E32" w:rsidRPr="00972C2E" w:rsidRDefault="001F40D1" w:rsidP="00073E32">
            <w:pPr>
              <w:bidi/>
              <w:ind w:left="-1"/>
              <w:jc w:val="both"/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الاعمال الموجهة: </w:t>
            </w:r>
            <w:proofErr w:type="spellStart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أ.د</w:t>
            </w:r>
            <w:proofErr w:type="spellEnd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. </w:t>
            </w:r>
            <w:proofErr w:type="spellStart"/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مو</w:t>
            </w:r>
            <w:r w:rsidR="000E4A17"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نية</w:t>
            </w:r>
            <w:proofErr w:type="spellEnd"/>
            <w:r w:rsidR="000E4A17"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proofErr w:type="spellStart"/>
            <w:r w:rsidR="000E4A17"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خلفاوي</w:t>
            </w:r>
            <w:proofErr w:type="spellEnd"/>
          </w:p>
        </w:tc>
        <w:tc>
          <w:tcPr>
            <w:tcW w:w="4943" w:type="dxa"/>
          </w:tcPr>
          <w:p w:rsidR="00DA6692" w:rsidRPr="00F778DE" w:rsidRDefault="00073E32" w:rsidP="00927975">
            <w:pPr>
              <w:jc w:val="righ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 w:rsidRPr="00F778D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الاساتذة المكلفين بتدريس المقياس</w:t>
            </w:r>
          </w:p>
        </w:tc>
      </w:tr>
      <w:tr w:rsidR="00073E32" w:rsidTr="0052674B">
        <w:tc>
          <w:tcPr>
            <w:tcW w:w="9886" w:type="dxa"/>
            <w:gridSpan w:val="2"/>
          </w:tcPr>
          <w:p w:rsidR="00073E32" w:rsidRDefault="00073E32" w:rsidP="00073E3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073E3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برنامج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DZ"/>
              </w:rPr>
              <w:t xml:space="preserve"> </w:t>
            </w:r>
            <w:r w:rsidRPr="00073E3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المقياس</w:t>
            </w:r>
          </w:p>
        </w:tc>
      </w:tr>
      <w:tr w:rsidR="00073E32" w:rsidTr="0052674B">
        <w:tc>
          <w:tcPr>
            <w:tcW w:w="9886" w:type="dxa"/>
            <w:gridSpan w:val="2"/>
          </w:tcPr>
          <w:p w:rsidR="00A76545" w:rsidRDefault="00A76545" w:rsidP="00A76545">
            <w:pPr>
              <w:bidi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المحور</w:t>
            </w:r>
            <w:r w:rsidRPr="00C0630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الاول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DZ"/>
              </w:rPr>
              <w:t>: مفاهيم عامة بالاقتصاد الجزئي</w:t>
            </w:r>
          </w:p>
          <w:p w:rsidR="00A76545" w:rsidRPr="00A76545" w:rsidRDefault="00A76545" w:rsidP="00A76545">
            <w:pPr>
              <w:bidi/>
              <w:ind w:left="-1"/>
              <w:jc w:val="both"/>
              <w:rPr>
                <w:rFonts w:ascii="Traditional Arabic" w:eastAsia="SimSun" w:hAnsi="Traditional Arabic" w:cs="Traditional Arabic"/>
                <w:b/>
                <w:sz w:val="40"/>
                <w:szCs w:val="40"/>
                <w:lang w:eastAsia="zh-CN" w:bidi="ar-DZ"/>
              </w:rPr>
            </w:pPr>
            <w:r w:rsidRPr="00A76545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المحور</w:t>
            </w:r>
            <w:r w:rsidRPr="00A76545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 xml:space="preserve"> </w:t>
            </w:r>
            <w:r w:rsidRPr="00A76545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الثاني</w:t>
            </w:r>
            <w:r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>:</w:t>
            </w:r>
            <w:r w:rsidR="00E3383E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ab/>
            </w:r>
            <w:r w:rsidR="00E3383E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>مدخل الى سلوك المستهلك</w:t>
            </w:r>
          </w:p>
          <w:p w:rsidR="00A76545" w:rsidRPr="00A76545" w:rsidRDefault="00A76545" w:rsidP="00A76545">
            <w:pPr>
              <w:bidi/>
              <w:ind w:left="-1"/>
              <w:jc w:val="both"/>
              <w:rPr>
                <w:rFonts w:ascii="Traditional Arabic" w:eastAsia="SimSun" w:hAnsi="Traditional Arabic" w:cs="Traditional Arabic"/>
                <w:b/>
                <w:sz w:val="40"/>
                <w:szCs w:val="40"/>
                <w:lang w:eastAsia="zh-CN" w:bidi="ar-DZ"/>
              </w:rPr>
            </w:pPr>
            <w:proofErr w:type="gramStart"/>
            <w:r w:rsidRPr="00A76545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المحور</w:t>
            </w:r>
            <w:proofErr w:type="gramEnd"/>
            <w:r w:rsidRPr="00A76545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 xml:space="preserve"> </w:t>
            </w:r>
            <w:r w:rsidRPr="00A76545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الثالث</w:t>
            </w:r>
            <w:r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>:</w:t>
            </w:r>
            <w:r w:rsidR="007950AC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ab/>
              <w:t xml:space="preserve"> </w:t>
            </w:r>
            <w:r w:rsidR="007950AC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>الاستهلاك في حالة عدة فترات</w:t>
            </w:r>
          </w:p>
          <w:p w:rsidR="00A76545" w:rsidRPr="00E93068" w:rsidRDefault="00A76545" w:rsidP="00B83D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7306"/>
              </w:tabs>
              <w:bidi/>
              <w:ind w:left="-1"/>
              <w:jc w:val="both"/>
              <w:rPr>
                <w:rFonts w:ascii="Traditional Arabic" w:eastAsia="SimSun" w:hAnsi="Traditional Arabic" w:cs="Traditional Arabic"/>
                <w:b/>
                <w:sz w:val="40"/>
                <w:szCs w:val="40"/>
                <w:lang w:eastAsia="zh-CN" w:bidi="ar-DZ"/>
              </w:rPr>
            </w:pPr>
            <w:r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المحور</w:t>
            </w:r>
            <w:r w:rsidRPr="00E93068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 xml:space="preserve"> </w:t>
            </w:r>
            <w:r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الرابع</w:t>
            </w:r>
            <w:r w:rsidR="00E93068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>:</w:t>
            </w:r>
            <w:r w:rsidR="000C258F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ab/>
            </w:r>
            <w:r w:rsidR="000C258F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>مدخل الى نظرية الانتاج</w:t>
            </w:r>
            <w:r w:rsidR="00B83D24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ab/>
            </w:r>
          </w:p>
          <w:p w:rsidR="00A76545" w:rsidRPr="00E93068" w:rsidRDefault="00A76545" w:rsidP="00A76545">
            <w:pPr>
              <w:bidi/>
              <w:ind w:left="-1"/>
              <w:jc w:val="both"/>
              <w:rPr>
                <w:rFonts w:ascii="Traditional Arabic" w:eastAsia="SimSun" w:hAnsi="Traditional Arabic" w:cs="Traditional Arabic"/>
                <w:b/>
                <w:sz w:val="40"/>
                <w:szCs w:val="40"/>
                <w:lang w:eastAsia="zh-CN" w:bidi="ar-DZ"/>
              </w:rPr>
            </w:pPr>
            <w:r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المحور</w:t>
            </w:r>
            <w:r w:rsidRPr="00E93068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 xml:space="preserve"> </w:t>
            </w:r>
            <w:r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الخام</w:t>
            </w:r>
            <w:r w:rsidR="00E93068"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س</w:t>
            </w:r>
            <w:r w:rsidR="00E93068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>:</w:t>
            </w:r>
            <w:r w:rsidR="004E6536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 xml:space="preserve"> اشكال دوال الانتاج </w:t>
            </w:r>
          </w:p>
          <w:p w:rsidR="00A76545" w:rsidRPr="00E93068" w:rsidRDefault="00A76545" w:rsidP="00A76545">
            <w:pPr>
              <w:bidi/>
              <w:ind w:left="-1"/>
              <w:jc w:val="both"/>
              <w:rPr>
                <w:rFonts w:ascii="Traditional Arabic" w:eastAsia="SimSun" w:hAnsi="Traditional Arabic" w:cs="Traditional Arabic"/>
                <w:b/>
                <w:sz w:val="40"/>
                <w:szCs w:val="40"/>
                <w:lang w:eastAsia="zh-CN" w:bidi="ar-DZ"/>
              </w:rPr>
            </w:pPr>
            <w:proofErr w:type="gramStart"/>
            <w:r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المحور</w:t>
            </w:r>
            <w:proofErr w:type="gramEnd"/>
            <w:r w:rsidRPr="00E93068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 xml:space="preserve"> </w:t>
            </w:r>
            <w:r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السا</w:t>
            </w:r>
            <w:r w:rsidR="00E93068"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دس</w:t>
            </w:r>
            <w:r w:rsidR="00E93068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>:</w:t>
            </w:r>
            <w:r w:rsidR="00B02114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 xml:space="preserve"> نظرية المنافسة</w:t>
            </w:r>
            <w:r w:rsidR="004E6536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ab/>
            </w:r>
          </w:p>
          <w:p w:rsidR="00A76545" w:rsidRDefault="00A76545" w:rsidP="00A76545">
            <w:pPr>
              <w:bidi/>
              <w:ind w:left="-1"/>
              <w:jc w:val="both"/>
              <w:rPr>
                <w:rFonts w:ascii="Traditional Arabic" w:eastAsia="SimSun" w:hAnsi="Traditional Arabic" w:cs="Traditional Arabic"/>
                <w:b/>
                <w:sz w:val="40"/>
                <w:szCs w:val="40"/>
                <w:lang w:eastAsia="zh-CN" w:bidi="ar-DZ"/>
              </w:rPr>
            </w:pPr>
            <w:r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المحور</w:t>
            </w:r>
            <w:r w:rsidRPr="00E93068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 xml:space="preserve"> </w:t>
            </w:r>
            <w:r w:rsidRPr="00E93068">
              <w:rPr>
                <w:rFonts w:ascii="Traditional Arabic" w:eastAsia="SimSun" w:hAnsi="Traditional Arabic" w:cs="Traditional Arabic"/>
                <w:bCs/>
                <w:sz w:val="40"/>
                <w:szCs w:val="40"/>
                <w:rtl/>
                <w:lang w:eastAsia="zh-CN" w:bidi="ar-DZ"/>
              </w:rPr>
              <w:t>السابع</w:t>
            </w:r>
            <w:r w:rsidR="00E93068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 xml:space="preserve">: </w:t>
            </w:r>
            <w:r w:rsidR="000B0A70"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مفاهيم اساسية حول نظرية الالعاب</w:t>
            </w:r>
            <w:r w:rsidR="000B0A70">
              <w:rPr>
                <w:rFonts w:ascii="Traditional Arabic" w:eastAsia="SimSun" w:hAnsi="Traditional Arabic" w:cs="Traditional Arabic"/>
                <w:b/>
                <w:sz w:val="40"/>
                <w:szCs w:val="40"/>
                <w:rtl/>
                <w:lang w:eastAsia="zh-CN" w:bidi="ar-DZ"/>
              </w:rPr>
              <w:tab/>
            </w:r>
          </w:p>
          <w:p w:rsidR="00B1122E" w:rsidRDefault="00B1122E" w:rsidP="000B0A70">
            <w:pPr>
              <w:bidi/>
              <w:ind w:left="-1"/>
              <w:jc w:val="both"/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</w:pPr>
            <w:r>
              <w:rPr>
                <w:rFonts w:ascii="Traditional Arabic" w:eastAsia="SimSun" w:hAnsi="Traditional Arabic" w:cs="Traditional Arabic" w:hint="cs"/>
                <w:bCs/>
                <w:sz w:val="40"/>
                <w:szCs w:val="40"/>
                <w:rtl/>
                <w:lang w:eastAsia="zh-CN" w:bidi="ar-DZ"/>
              </w:rPr>
              <w:t>المحور الثامن</w:t>
            </w:r>
            <w:r w:rsidRPr="00B1122E"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:</w:t>
            </w:r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r w:rsidR="000B0A70"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مدخل عام للمنافسة وعلاقتها بنظرية الالعاب</w:t>
            </w:r>
          </w:p>
          <w:p w:rsidR="00B1122E" w:rsidRDefault="00B1122E" w:rsidP="000B0A70">
            <w:pPr>
              <w:bidi/>
              <w:ind w:left="-1"/>
              <w:jc w:val="both"/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</w:pPr>
            <w:r>
              <w:rPr>
                <w:rFonts w:ascii="Traditional Arabic" w:eastAsia="SimSun" w:hAnsi="Traditional Arabic" w:cs="Traditional Arabic" w:hint="cs"/>
                <w:bCs/>
                <w:sz w:val="40"/>
                <w:szCs w:val="40"/>
                <w:rtl/>
                <w:lang w:eastAsia="zh-CN" w:bidi="ar-DZ"/>
              </w:rPr>
              <w:t>المحور التاسع</w:t>
            </w:r>
            <w:r w:rsidRPr="00B1122E"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:</w:t>
            </w:r>
            <w:r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r w:rsidR="000B0A70">
              <w:rPr>
                <w:rFonts w:ascii="Sakkal Majalla" w:eastAsia="SimSun" w:hAnsi="Sakkal Majalla" w:cs="Sakkal Majalla" w:hint="cs"/>
                <w:b/>
                <w:sz w:val="32"/>
                <w:szCs w:val="32"/>
                <w:rtl/>
                <w:lang w:eastAsia="zh-CN" w:bidi="ar-DZ"/>
              </w:rPr>
              <w:t>تحليل الاحتكار وعلاقته بنظرية الالعاب</w:t>
            </w:r>
          </w:p>
          <w:p w:rsidR="00A83E20" w:rsidRPr="009E0DD1" w:rsidRDefault="00A83E20" w:rsidP="000B0A70">
            <w:pPr>
              <w:bidi/>
              <w:ind w:left="-1"/>
              <w:jc w:val="both"/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</w:pPr>
            <w:r>
              <w:rPr>
                <w:rFonts w:ascii="Traditional Arabic" w:eastAsia="SimSun" w:hAnsi="Traditional Arabic" w:cs="Traditional Arabic" w:hint="cs"/>
                <w:bCs/>
                <w:sz w:val="40"/>
                <w:szCs w:val="40"/>
                <w:rtl/>
                <w:lang w:eastAsia="zh-CN" w:bidi="ar-DZ"/>
              </w:rPr>
              <w:t>المحور العاشر</w:t>
            </w:r>
            <w:r w:rsidR="000B0A70" w:rsidRPr="009E0DD1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 xml:space="preserve">: </w:t>
            </w:r>
            <w:r w:rsidR="009E0DD1" w:rsidRPr="009E0DD1">
              <w:rPr>
                <w:rFonts w:ascii="Traditional Arabic" w:eastAsia="SimSun" w:hAnsi="Traditional Arabic" w:cs="Traditional Arabic" w:hint="cs"/>
                <w:b/>
                <w:sz w:val="40"/>
                <w:szCs w:val="40"/>
                <w:rtl/>
                <w:lang w:eastAsia="zh-CN" w:bidi="ar-DZ"/>
              </w:rPr>
              <w:t>التوازن العام واقتصاد الرفاه</w:t>
            </w:r>
          </w:p>
          <w:p w:rsidR="001F40D1" w:rsidRPr="006B05A1" w:rsidRDefault="001F40D1" w:rsidP="001F40D1">
            <w:pPr>
              <w:bidi/>
              <w:ind w:left="-1"/>
              <w:jc w:val="both"/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</w:pPr>
          </w:p>
          <w:p w:rsidR="00073E32" w:rsidRPr="00073E32" w:rsidRDefault="00073E32" w:rsidP="00073E32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:rsidR="00927975" w:rsidRDefault="00927975" w:rsidP="00A12480">
      <w:pPr>
        <w:jc w:val="right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</w:p>
    <w:sectPr w:rsidR="00927975" w:rsidSect="009E0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6420"/>
    <w:multiLevelType w:val="hybridMultilevel"/>
    <w:tmpl w:val="296C93A6"/>
    <w:lvl w:ilvl="0" w:tplc="8EEEE08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04"/>
    <w:rsid w:val="000163C2"/>
    <w:rsid w:val="00073E32"/>
    <w:rsid w:val="000B0A70"/>
    <w:rsid w:val="000C258F"/>
    <w:rsid w:val="000E4A17"/>
    <w:rsid w:val="0012709A"/>
    <w:rsid w:val="001B47D6"/>
    <w:rsid w:val="001F40D1"/>
    <w:rsid w:val="00212E39"/>
    <w:rsid w:val="002A0044"/>
    <w:rsid w:val="003F7393"/>
    <w:rsid w:val="004C4857"/>
    <w:rsid w:val="004E6536"/>
    <w:rsid w:val="005D23FF"/>
    <w:rsid w:val="006A7C7B"/>
    <w:rsid w:val="006B05A1"/>
    <w:rsid w:val="00777EB1"/>
    <w:rsid w:val="007950AC"/>
    <w:rsid w:val="008067CE"/>
    <w:rsid w:val="00807683"/>
    <w:rsid w:val="00927975"/>
    <w:rsid w:val="00972C2E"/>
    <w:rsid w:val="009E0DD1"/>
    <w:rsid w:val="00A12480"/>
    <w:rsid w:val="00A66AF2"/>
    <w:rsid w:val="00A76545"/>
    <w:rsid w:val="00A83E20"/>
    <w:rsid w:val="00B02114"/>
    <w:rsid w:val="00B1122E"/>
    <w:rsid w:val="00B83D24"/>
    <w:rsid w:val="00BE2B3E"/>
    <w:rsid w:val="00C0630B"/>
    <w:rsid w:val="00D10885"/>
    <w:rsid w:val="00DA6692"/>
    <w:rsid w:val="00E27597"/>
    <w:rsid w:val="00E3383E"/>
    <w:rsid w:val="00E93068"/>
    <w:rsid w:val="00F778DE"/>
    <w:rsid w:val="00F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04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E2B3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1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04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E2B3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1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30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2024-09-23T18:08:00Z</cp:lastPrinted>
  <dcterms:created xsi:type="dcterms:W3CDTF">2024-09-23T18:10:00Z</dcterms:created>
  <dcterms:modified xsi:type="dcterms:W3CDTF">2024-09-23T18:10:00Z</dcterms:modified>
</cp:coreProperties>
</file>