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F" w:rsidRPr="00C81F3B" w:rsidRDefault="00073C2F" w:rsidP="00073C2F">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 xml:space="preserve">المحاضرة </w:t>
      </w:r>
      <w:proofErr w:type="gramStart"/>
      <w:r w:rsidRPr="00C81F3B">
        <w:rPr>
          <w:rFonts w:ascii="Sakkal Majalla" w:hAnsi="Sakkal Majalla" w:cs="Sakkal Majalla"/>
          <w:b/>
          <w:bCs/>
          <w:sz w:val="32"/>
          <w:szCs w:val="32"/>
          <w:rtl/>
          <w:lang w:bidi="ar-DZ"/>
        </w:rPr>
        <w:t>الثانية</w:t>
      </w:r>
      <w:proofErr w:type="gramEnd"/>
      <w:r w:rsidRPr="00C81F3B">
        <w:rPr>
          <w:rFonts w:ascii="Sakkal Majalla" w:hAnsi="Sakkal Majalla" w:cs="Sakkal Majalla"/>
          <w:b/>
          <w:bCs/>
          <w:sz w:val="32"/>
          <w:szCs w:val="32"/>
          <w:rtl/>
          <w:lang w:bidi="ar-DZ"/>
        </w:rPr>
        <w:t xml:space="preserve"> عشر: ضبط الفهارس</w:t>
      </w:r>
    </w:p>
    <w:p w:rsidR="00073C2F" w:rsidRPr="00C81F3B" w:rsidRDefault="00073C2F" w:rsidP="00073C2F">
      <w:pPr>
        <w:tabs>
          <w:tab w:val="left" w:pos="1524"/>
        </w:tabs>
        <w:bidi/>
        <w:spacing w:line="360" w:lineRule="auto"/>
        <w:jc w:val="both"/>
        <w:rPr>
          <w:rFonts w:ascii="Sakkal Majalla" w:hAnsi="Sakkal Majalla" w:cs="Sakkal Majalla"/>
          <w:b/>
          <w:bCs/>
          <w:sz w:val="32"/>
          <w:szCs w:val="32"/>
          <w:rtl/>
          <w:lang w:bidi="ar-DZ"/>
        </w:rPr>
      </w:pPr>
      <w:r>
        <w:rPr>
          <w:rFonts w:ascii="Sakkal Majalla" w:eastAsia="Calibri" w:hAnsi="Sakkal Majalla" w:cs="Sakkal Majalla" w:hint="cs"/>
          <w:sz w:val="32"/>
          <w:szCs w:val="32"/>
          <w:rtl/>
          <w:lang w:eastAsia="fr-FR"/>
        </w:rPr>
        <w:t>تعد صناعة</w:t>
      </w:r>
      <w:r w:rsidRPr="00C81F3B">
        <w:rPr>
          <w:rFonts w:ascii="Sakkal Majalla" w:eastAsia="Calibri" w:hAnsi="Sakkal Majalla" w:cs="Sakkal Majalla"/>
          <w:sz w:val="32"/>
          <w:szCs w:val="32"/>
          <w:rtl/>
          <w:lang w:eastAsia="fr-FR"/>
        </w:rPr>
        <w:t xml:space="preserve"> الفهارس الفنية </w:t>
      </w:r>
      <w:r>
        <w:rPr>
          <w:rFonts w:ascii="Sakkal Majalla" w:eastAsia="Calibri" w:hAnsi="Sakkal Majalla" w:cs="Sakkal Majalla" w:hint="cs"/>
          <w:sz w:val="32"/>
          <w:szCs w:val="32"/>
          <w:rtl/>
          <w:lang w:eastAsia="fr-FR"/>
        </w:rPr>
        <w:t xml:space="preserve">عنصرا مهما </w:t>
      </w:r>
      <w:r>
        <w:rPr>
          <w:rFonts w:ascii="Sakkal Majalla" w:eastAsia="Calibri" w:hAnsi="Sakkal Majalla" w:cs="Sakkal Majalla"/>
          <w:sz w:val="32"/>
          <w:szCs w:val="32"/>
          <w:rtl/>
          <w:lang w:eastAsia="fr-FR"/>
        </w:rPr>
        <w:t>لا غنى عنه</w:t>
      </w:r>
      <w:r w:rsidRPr="00C81F3B">
        <w:rPr>
          <w:rFonts w:ascii="Sakkal Majalla" w:eastAsia="Calibri" w:hAnsi="Sakkal Majalla" w:cs="Sakkal Majalla"/>
          <w:sz w:val="32"/>
          <w:szCs w:val="32"/>
          <w:rtl/>
          <w:lang w:eastAsia="fr-FR"/>
        </w:rPr>
        <w:t xml:space="preserve"> في </w:t>
      </w:r>
      <w:r>
        <w:rPr>
          <w:rFonts w:ascii="Sakkal Majalla" w:eastAsia="Calibri" w:hAnsi="Sakkal Majalla" w:cs="Sakkal Majalla" w:hint="cs"/>
          <w:sz w:val="32"/>
          <w:szCs w:val="32"/>
          <w:rtl/>
          <w:lang w:eastAsia="fr-FR"/>
        </w:rPr>
        <w:t xml:space="preserve">تحقيق أي مخطوط من  </w:t>
      </w:r>
      <w:r w:rsidRPr="00C81F3B">
        <w:rPr>
          <w:rFonts w:ascii="Sakkal Majalla" w:eastAsia="Calibri" w:hAnsi="Sakkal Majalla" w:cs="Sakkal Majalla"/>
          <w:sz w:val="32"/>
          <w:szCs w:val="32"/>
          <w:rtl/>
          <w:lang w:eastAsia="fr-FR"/>
        </w:rPr>
        <w:t xml:space="preserve">المخطوطات </w:t>
      </w:r>
      <w:r>
        <w:rPr>
          <w:rFonts w:ascii="Sakkal Majalla" w:eastAsia="Calibri" w:hAnsi="Sakkal Majalla" w:cs="Sakkal Majalla" w:hint="cs"/>
          <w:sz w:val="32"/>
          <w:szCs w:val="32"/>
          <w:rtl/>
          <w:lang w:eastAsia="fr-FR"/>
        </w:rPr>
        <w:t xml:space="preserve">" إذ بدونها تكون دراسة الكتب ولا سيما القديمة منها عسيرة كل العسر، فالفهارس تفتش ما في باطنها من خفيات يصعب </w:t>
      </w:r>
      <w:proofErr w:type="spellStart"/>
      <w:r>
        <w:rPr>
          <w:rFonts w:ascii="Sakkal Majalla" w:eastAsia="Calibri" w:hAnsi="Sakkal Majalla" w:cs="Sakkal Majalla" w:hint="cs"/>
          <w:sz w:val="32"/>
          <w:szCs w:val="32"/>
          <w:rtl/>
          <w:lang w:eastAsia="fr-FR"/>
        </w:rPr>
        <w:t>التهذّي</w:t>
      </w:r>
      <w:proofErr w:type="spellEnd"/>
      <w:r>
        <w:rPr>
          <w:rFonts w:ascii="Sakkal Majalla" w:eastAsia="Calibri" w:hAnsi="Sakkal Majalla" w:cs="Sakkal Majalla" w:hint="cs"/>
          <w:sz w:val="32"/>
          <w:szCs w:val="32"/>
          <w:rtl/>
          <w:lang w:eastAsia="fr-FR"/>
        </w:rPr>
        <w:t xml:space="preserve"> إليها، كما أنها معيار توزن به </w:t>
      </w:r>
      <w:r>
        <w:rPr>
          <w:rFonts w:ascii="Sakkal Majalla" w:eastAsia="Calibri" w:hAnsi="Sakkal Majalla" w:cs="Sakkal Majalla"/>
          <w:sz w:val="32"/>
          <w:szCs w:val="32"/>
          <w:rtl/>
          <w:lang w:eastAsia="fr-FR"/>
        </w:rPr>
        <w:t xml:space="preserve">صحة </w:t>
      </w:r>
      <w:r w:rsidRPr="00C81F3B">
        <w:rPr>
          <w:rFonts w:ascii="Sakkal Majalla" w:eastAsia="Calibri" w:hAnsi="Sakkal Majalla" w:cs="Sakkal Majalla"/>
          <w:sz w:val="32"/>
          <w:szCs w:val="32"/>
          <w:rtl/>
          <w:lang w:eastAsia="fr-FR"/>
        </w:rPr>
        <w:t>نصوص</w:t>
      </w:r>
      <w:r>
        <w:rPr>
          <w:rFonts w:ascii="Sakkal Majalla" w:eastAsia="Calibri" w:hAnsi="Sakkal Majalla" w:cs="Sakkal Majalla" w:hint="cs"/>
          <w:sz w:val="32"/>
          <w:szCs w:val="32"/>
          <w:rtl/>
          <w:lang w:eastAsia="fr-FR"/>
        </w:rPr>
        <w:t>ها</w:t>
      </w:r>
      <w:r w:rsidRPr="00C81F3B">
        <w:rPr>
          <w:rFonts w:ascii="Sakkal Majalla" w:eastAsia="Calibri" w:hAnsi="Sakkal Majalla" w:cs="Sakkal Majalla"/>
          <w:sz w:val="32"/>
          <w:szCs w:val="32"/>
          <w:rtl/>
          <w:lang w:eastAsia="fr-FR"/>
        </w:rPr>
        <w:t xml:space="preserve"> بمقابلة ما فيها من نظائر قد تكشف عن خطأ المحقق أو سهوه.</w:t>
      </w:r>
      <w:r>
        <w:rPr>
          <w:rFonts w:ascii="Sakkal Majalla" w:eastAsia="Calibri" w:hAnsi="Sakkal Majalla" w:cs="Sakkal Majalla" w:hint="cs"/>
          <w:sz w:val="32"/>
          <w:szCs w:val="32"/>
          <w:rtl/>
          <w:lang w:eastAsia="fr-FR"/>
        </w:rPr>
        <w:t>"</w:t>
      </w:r>
      <w:r w:rsidRPr="004C0B54">
        <w:rPr>
          <w:rFonts w:ascii="Sakkal Majalla" w:eastAsia="Calibri" w:hAnsi="Sakkal Majalla" w:cs="Sakkal Majalla"/>
          <w:sz w:val="32"/>
          <w:szCs w:val="32"/>
          <w:vertAlign w:val="superscript"/>
          <w:rtl/>
          <w:lang w:eastAsia="fr-FR"/>
        </w:rPr>
        <w:t xml:space="preserve"> </w:t>
      </w:r>
      <w:r w:rsidRPr="004C0B54">
        <w:rPr>
          <w:rFonts w:ascii="Sakkal Majalla" w:eastAsia="Calibri" w:hAnsi="Sakkal Majalla" w:cs="Sakkal Majalla"/>
          <w:sz w:val="32"/>
          <w:szCs w:val="32"/>
          <w:vertAlign w:val="superscript"/>
          <w:rtl/>
          <w:lang w:eastAsia="fr-FR"/>
        </w:rPr>
        <w:footnoteReference w:id="1"/>
      </w:r>
      <w:r w:rsidRPr="004C0B54">
        <w:rPr>
          <w:rFonts w:ascii="Sakkal Majalla" w:eastAsia="Calibri" w:hAnsi="Sakkal Majalla" w:cs="Sakkal Majalla" w:hint="cs"/>
          <w:sz w:val="32"/>
          <w:szCs w:val="32"/>
          <w:rtl/>
          <w:lang w:eastAsia="fr-FR"/>
        </w:rPr>
        <w:t>.</w:t>
      </w:r>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فالمخطوط مثل </w:t>
      </w:r>
      <w:proofErr w:type="gramStart"/>
      <w:r w:rsidRPr="00C81F3B">
        <w:rPr>
          <w:rFonts w:ascii="Sakkal Majalla" w:eastAsia="Calibri" w:hAnsi="Sakkal Majalla" w:cs="Sakkal Majalla"/>
          <w:sz w:val="32"/>
          <w:szCs w:val="32"/>
          <w:rtl/>
          <w:lang w:eastAsia="fr-FR"/>
        </w:rPr>
        <w:t>الخزانة</w:t>
      </w:r>
      <w:proofErr w:type="gramEnd"/>
      <w:r w:rsidRPr="00C81F3B">
        <w:rPr>
          <w:rFonts w:ascii="Sakkal Majalla" w:eastAsia="Calibri" w:hAnsi="Sakkal Majalla" w:cs="Sakkal Majalla"/>
          <w:sz w:val="32"/>
          <w:szCs w:val="32"/>
          <w:rtl/>
          <w:lang w:eastAsia="fr-FR"/>
        </w:rPr>
        <w:t xml:space="preserve"> المقفلة. والفهارس هي المفاتيح التي تجعل القا</w:t>
      </w:r>
      <w:r>
        <w:rPr>
          <w:rFonts w:ascii="Sakkal Majalla" w:eastAsia="Calibri" w:hAnsi="Sakkal Majalla" w:cs="Sakkal Majalla"/>
          <w:sz w:val="32"/>
          <w:szCs w:val="32"/>
          <w:rtl/>
          <w:lang w:eastAsia="fr-FR"/>
        </w:rPr>
        <w:t>رئ يستخرج من تلك الخزانة كنوزها</w:t>
      </w:r>
      <w:r w:rsidRPr="00C81F3B">
        <w:rPr>
          <w:rFonts w:ascii="Sakkal Majalla" w:eastAsia="Calibri" w:hAnsi="Sakkal Majalla" w:cs="Sakkal Majalla"/>
          <w:sz w:val="32"/>
          <w:szCs w:val="32"/>
          <w:rtl/>
          <w:lang w:eastAsia="fr-FR"/>
        </w:rPr>
        <w:t xml:space="preserve"> و يستفيد منها إلى أقصى حدود الإفادة بيسر </w:t>
      </w:r>
      <w:proofErr w:type="gramStart"/>
      <w:r w:rsidRPr="00C81F3B">
        <w:rPr>
          <w:rFonts w:ascii="Sakkal Majalla" w:eastAsia="Calibri" w:hAnsi="Sakkal Majalla" w:cs="Sakkal Majalla"/>
          <w:sz w:val="32"/>
          <w:szCs w:val="32"/>
          <w:rtl/>
          <w:lang w:eastAsia="fr-FR"/>
        </w:rPr>
        <w:t xml:space="preserve">وسهولة </w:t>
      </w:r>
      <w:r w:rsidRPr="00830F1C">
        <w:rPr>
          <w:rFonts w:ascii="Sakkal Majalla" w:eastAsia="Calibri" w:hAnsi="Sakkal Majalla" w:cs="Sakkal Majalla"/>
          <w:sz w:val="32"/>
          <w:szCs w:val="32"/>
          <w:vertAlign w:val="superscript"/>
          <w:rtl/>
          <w:lang w:eastAsia="fr-FR"/>
        </w:rPr>
        <w:footnoteReference w:id="2"/>
      </w:r>
      <w:r w:rsidRPr="00830F1C">
        <w:rPr>
          <w:rFonts w:ascii="Sakkal Majalla" w:eastAsia="Calibri" w:hAnsi="Sakkal Majalla" w:cs="Sakkal Majalla"/>
          <w:sz w:val="32"/>
          <w:szCs w:val="32"/>
          <w:rtl/>
          <w:lang w:eastAsia="fr-FR"/>
        </w:rPr>
        <w:t>.</w:t>
      </w:r>
      <w:proofErr w:type="gramEnd"/>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 الفهرس يستعمل بمعنيين :</w:t>
      </w:r>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w:t>
      </w:r>
      <w:r w:rsidRPr="00C81F3B">
        <w:rPr>
          <w:rFonts w:ascii="Sakkal Majalla" w:eastAsia="Calibri" w:hAnsi="Sakkal Majalla" w:cs="Sakkal Majalla"/>
          <w:sz w:val="32"/>
          <w:szCs w:val="32"/>
          <w:rtl/>
          <w:cs/>
          <w:lang w:eastAsia="fr-FR"/>
        </w:rPr>
        <w:t>‎-1‏ الكتاب الذي يفهرس أسماء الكتب.</w:t>
      </w:r>
      <w:r w:rsidRPr="00C81F3B">
        <w:rPr>
          <w:rFonts w:ascii="Sakkal Majalla" w:eastAsia="Calibri" w:hAnsi="Sakkal Majalla" w:cs="Sakkal Majalla"/>
          <w:sz w:val="32"/>
          <w:szCs w:val="32"/>
          <w:rtl/>
          <w:lang w:eastAsia="fr-FR"/>
        </w:rPr>
        <w:t xml:space="preserve"> مثل: الفهرست لابن النديم. وكشف الظنون عن </w:t>
      </w:r>
      <w:proofErr w:type="gramStart"/>
      <w:r w:rsidRPr="00C81F3B">
        <w:rPr>
          <w:rFonts w:ascii="Sakkal Majalla" w:eastAsia="Calibri" w:hAnsi="Sakkal Majalla" w:cs="Sakkal Majalla"/>
          <w:sz w:val="32"/>
          <w:szCs w:val="32"/>
          <w:rtl/>
          <w:lang w:eastAsia="fr-FR"/>
        </w:rPr>
        <w:t>أسامي</w:t>
      </w:r>
      <w:proofErr w:type="gramEnd"/>
      <w:r w:rsidRPr="00C81F3B">
        <w:rPr>
          <w:rFonts w:ascii="Sakkal Majalla" w:eastAsia="Calibri" w:hAnsi="Sakkal Majalla" w:cs="Sakkal Majalla"/>
          <w:sz w:val="32"/>
          <w:szCs w:val="32"/>
          <w:rtl/>
          <w:lang w:eastAsia="fr-FR"/>
        </w:rPr>
        <w:t xml:space="preserve"> الكتب والفنون لحاجي خليفة. وفهارس </w:t>
      </w:r>
      <w:proofErr w:type="gramStart"/>
      <w:r w:rsidRPr="00C81F3B">
        <w:rPr>
          <w:rFonts w:ascii="Sakkal Majalla" w:eastAsia="Calibri" w:hAnsi="Sakkal Majalla" w:cs="Sakkal Majalla"/>
          <w:sz w:val="32"/>
          <w:szCs w:val="32"/>
          <w:rtl/>
          <w:lang w:eastAsia="fr-FR"/>
        </w:rPr>
        <w:t>المكتبات .</w:t>
      </w:r>
      <w:proofErr w:type="gramEnd"/>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‎2‏ - الجدول أو </w:t>
      </w:r>
      <w:proofErr w:type="gramStart"/>
      <w:r w:rsidRPr="00C81F3B">
        <w:rPr>
          <w:rFonts w:ascii="Sakkal Majalla" w:eastAsia="Calibri" w:hAnsi="Sakkal Majalla" w:cs="Sakkal Majalla"/>
          <w:sz w:val="32"/>
          <w:szCs w:val="32"/>
          <w:rtl/>
          <w:cs/>
          <w:lang w:eastAsia="fr-FR"/>
        </w:rPr>
        <w:t>القائمة</w:t>
      </w:r>
      <w:proofErr w:type="gramEnd"/>
      <w:r w:rsidRPr="00C81F3B">
        <w:rPr>
          <w:rFonts w:ascii="Sakkal Majalla" w:eastAsia="Calibri" w:hAnsi="Sakkal Majalla" w:cs="Sakkal Majalla"/>
          <w:sz w:val="32"/>
          <w:szCs w:val="32"/>
          <w:rtl/>
          <w:cs/>
          <w:lang w:eastAsia="fr-FR"/>
        </w:rPr>
        <w:t xml:space="preserve"> التي تفهرس لموضوعات ومحتويات الكتاب. وتسمى بـ (</w:t>
      </w:r>
      <w:proofErr w:type="gramStart"/>
      <w:r w:rsidRPr="00C81F3B">
        <w:rPr>
          <w:rFonts w:ascii="Sakkal Majalla" w:eastAsia="Calibri" w:hAnsi="Sakkal Majalla" w:cs="Sakkal Majalla"/>
          <w:sz w:val="32"/>
          <w:szCs w:val="32"/>
          <w:rtl/>
          <w:cs/>
          <w:lang w:eastAsia="fr-FR"/>
        </w:rPr>
        <w:t>فهرس</w:t>
      </w:r>
      <w:proofErr w:type="gramEnd"/>
      <w:r w:rsidRPr="00C81F3B">
        <w:rPr>
          <w:rFonts w:ascii="Sakkal Majalla" w:eastAsia="Calibri" w:hAnsi="Sakkal Majalla" w:cs="Sakkal Majalla"/>
          <w:sz w:val="32"/>
          <w:szCs w:val="32"/>
          <w:rtl/>
          <w:cs/>
          <w:lang w:eastAsia="fr-FR"/>
        </w:rPr>
        <w:t xml:space="preserve"> الكتاب). ويصنف </w:t>
      </w:r>
      <w:proofErr w:type="gramStart"/>
      <w:r w:rsidRPr="00C81F3B">
        <w:rPr>
          <w:rFonts w:ascii="Sakkal Majalla" w:eastAsia="Calibri" w:hAnsi="Sakkal Majalla" w:cs="Sakkal Majalla"/>
          <w:sz w:val="32"/>
          <w:szCs w:val="32"/>
          <w:rtl/>
          <w:cs/>
          <w:lang w:eastAsia="fr-FR"/>
        </w:rPr>
        <w:t>فهرس</w:t>
      </w:r>
      <w:proofErr w:type="gramEnd"/>
      <w:r w:rsidRPr="00C81F3B">
        <w:rPr>
          <w:rFonts w:ascii="Sakkal Majalla" w:eastAsia="Calibri" w:hAnsi="Sakkal Majalla" w:cs="Sakkal Majalla"/>
          <w:sz w:val="32"/>
          <w:szCs w:val="32"/>
          <w:rtl/>
          <w:cs/>
          <w:lang w:eastAsia="fr-FR"/>
        </w:rPr>
        <w:t xml:space="preserve"> الكتاب إلى</w:t>
      </w:r>
      <w:r w:rsidRPr="00C81F3B">
        <w:rPr>
          <w:rFonts w:ascii="Sakkal Majalla" w:eastAsia="Calibri" w:hAnsi="Sakkal Majalla" w:cs="Sakkal Majalla"/>
          <w:sz w:val="32"/>
          <w:szCs w:val="32"/>
          <w:rtl/>
          <w:lang w:eastAsia="fr-FR"/>
        </w:rPr>
        <w:t xml:space="preserve"> نوعين هما:</w:t>
      </w:r>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1-</w:t>
      </w:r>
      <w:r w:rsidRPr="00C81F3B">
        <w:rPr>
          <w:rFonts w:ascii="Sakkal Majalla" w:eastAsia="Calibri" w:hAnsi="Sakkal Majalla" w:cs="Sakkal Majalla"/>
          <w:b/>
          <w:bCs/>
          <w:sz w:val="32"/>
          <w:szCs w:val="32"/>
          <w:rtl/>
          <w:lang w:eastAsia="fr-FR"/>
        </w:rPr>
        <w:t xml:space="preserve"> فهرس </w:t>
      </w:r>
      <w:proofErr w:type="gramStart"/>
      <w:r w:rsidRPr="00C81F3B">
        <w:rPr>
          <w:rFonts w:ascii="Sakkal Majalla" w:eastAsia="Calibri" w:hAnsi="Sakkal Majalla" w:cs="Sakkal Majalla"/>
          <w:b/>
          <w:bCs/>
          <w:sz w:val="32"/>
          <w:szCs w:val="32"/>
          <w:rtl/>
          <w:lang w:eastAsia="fr-FR"/>
        </w:rPr>
        <w:t>خاص</w:t>
      </w:r>
      <w:r w:rsidRPr="00C81F3B">
        <w:rPr>
          <w:rFonts w:ascii="Sakkal Majalla" w:eastAsia="Calibri" w:hAnsi="Sakkal Majalla" w:cs="Sakkal Majalla"/>
          <w:sz w:val="32"/>
          <w:szCs w:val="32"/>
          <w:rtl/>
          <w:lang w:eastAsia="fr-FR"/>
        </w:rPr>
        <w:t xml:space="preserve"> :</w:t>
      </w:r>
      <w:proofErr w:type="gramEnd"/>
      <w:r w:rsidRPr="00C81F3B">
        <w:rPr>
          <w:rFonts w:ascii="Sakkal Majalla" w:eastAsia="Calibri" w:hAnsi="Sakkal Majalla" w:cs="Sakkal Majalla"/>
          <w:sz w:val="32"/>
          <w:szCs w:val="32"/>
          <w:rtl/>
          <w:lang w:eastAsia="fr-FR"/>
        </w:rPr>
        <w:t xml:space="preserve"> و هو الذي يتضمن العناوين العامة لموضوعات الكتاب من أبواب وفصول وأمثالها. وقد يفصل فيه فتذكر جزئيات كل موضوع من موضوعات الكتاب المندرجة تحت عناوينها العامة. ويسمى بـ (الفهرس التفصيلي).</w:t>
      </w:r>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 بالنسبة إلى موضع الفهرس الخاص من الكتاب فقد جرت عادة البلاد الناطقة باللغة الانجليزية بوضعها في أول الكتاب أما الناطقون بالفرنسية فإنهم يضعونها في آخر الكتاب. وتوضع في الكتب العربية أحيانا في أول الكتاب وأحيانا في آخره .</w:t>
      </w:r>
    </w:p>
    <w:p w:rsidR="00073C2F" w:rsidRPr="00C81F3B" w:rsidRDefault="00073C2F" w:rsidP="00073C2F">
      <w:pPr>
        <w:bidi/>
        <w:spacing w:after="200" w:line="360" w:lineRule="auto"/>
        <w:jc w:val="both"/>
        <w:rPr>
          <w:rFonts w:ascii="Sakkal Majalla" w:eastAsia="Calibri" w:hAnsi="Sakkal Majalla" w:cs="Sakkal Majalla"/>
          <w:sz w:val="32"/>
          <w:szCs w:val="32"/>
          <w:rtl/>
          <w:lang w:eastAsia="fr-FR" w:bidi="ar-DZ"/>
        </w:rPr>
      </w:pPr>
      <w:r>
        <w:rPr>
          <w:rFonts w:ascii="Sakkal Majalla" w:eastAsia="Calibri" w:hAnsi="Sakkal Majalla" w:cs="Sakkal Majalla" w:hint="cs"/>
          <w:b/>
          <w:bCs/>
          <w:sz w:val="32"/>
          <w:szCs w:val="32"/>
          <w:rtl/>
          <w:lang w:eastAsia="fr-FR"/>
        </w:rPr>
        <w:lastRenderedPageBreak/>
        <w:t>2</w:t>
      </w:r>
      <w:r w:rsidRPr="00C81F3B">
        <w:rPr>
          <w:rFonts w:ascii="Sakkal Majalla" w:eastAsia="Calibri" w:hAnsi="Sakkal Majalla" w:cs="Sakkal Majalla"/>
          <w:b/>
          <w:bCs/>
          <w:sz w:val="32"/>
          <w:szCs w:val="32"/>
          <w:rtl/>
          <w:lang w:eastAsia="fr-FR"/>
        </w:rPr>
        <w:t xml:space="preserve">- فهرس عام: </w:t>
      </w:r>
      <w:r w:rsidRPr="00C81F3B">
        <w:rPr>
          <w:rFonts w:ascii="Sakkal Majalla" w:eastAsia="Calibri" w:hAnsi="Sakkal Majalla" w:cs="Sakkal Majalla"/>
          <w:sz w:val="32"/>
          <w:szCs w:val="32"/>
          <w:rtl/>
          <w:lang w:eastAsia="fr-FR"/>
        </w:rPr>
        <w:t xml:space="preserve">أو الفهرس التحليلي وهو الذي يشتمل على عدة فهارس تضم أشياء أخرى غير موضوعات الكتاب التي فهرسها الفهرس </w:t>
      </w:r>
      <w:proofErr w:type="gramStart"/>
      <w:r w:rsidRPr="00C81F3B">
        <w:rPr>
          <w:rFonts w:ascii="Sakkal Majalla" w:eastAsia="Calibri" w:hAnsi="Sakkal Majalla" w:cs="Sakkal Majalla"/>
          <w:sz w:val="32"/>
          <w:szCs w:val="32"/>
          <w:rtl/>
          <w:lang w:eastAsia="fr-FR"/>
        </w:rPr>
        <w:t xml:space="preserve">الخاص </w:t>
      </w:r>
      <w:r w:rsidRPr="00624EFA">
        <w:rPr>
          <w:rFonts w:ascii="Sakkal Majalla" w:eastAsia="Calibri" w:hAnsi="Sakkal Majalla" w:cs="Sakkal Majalla"/>
          <w:sz w:val="32"/>
          <w:szCs w:val="32"/>
          <w:vertAlign w:val="superscript"/>
          <w:rtl/>
          <w:lang w:eastAsia="fr-FR"/>
        </w:rPr>
        <w:footnoteReference w:id="3"/>
      </w:r>
      <w:r w:rsidRPr="00624EFA">
        <w:rPr>
          <w:rFonts w:ascii="Sakkal Majalla" w:eastAsia="Calibri" w:hAnsi="Sakkal Majalla" w:cs="Sakkal Majalla"/>
          <w:sz w:val="32"/>
          <w:szCs w:val="32"/>
          <w:rtl/>
          <w:lang w:eastAsia="fr-FR"/>
        </w:rPr>
        <w:t>.</w:t>
      </w:r>
      <w:proofErr w:type="gramEnd"/>
      <w:r>
        <w:rPr>
          <w:rFonts w:ascii="Sakkal Majalla" w:eastAsia="Calibri" w:hAnsi="Sakkal Majalla" w:cs="Sakkal Majalla" w:hint="cs"/>
          <w:sz w:val="32"/>
          <w:szCs w:val="32"/>
          <w:rtl/>
          <w:lang w:eastAsia="fr-FR"/>
        </w:rPr>
        <w:t xml:space="preserve"> </w:t>
      </w:r>
      <w:proofErr w:type="gramStart"/>
      <w:r w:rsidRPr="00C81F3B">
        <w:rPr>
          <w:rFonts w:ascii="Sakkal Majalla" w:eastAsia="Calibri" w:hAnsi="Sakkal Majalla" w:cs="Sakkal Majalla"/>
          <w:sz w:val="32"/>
          <w:szCs w:val="32"/>
          <w:rtl/>
          <w:lang w:eastAsia="fr-FR"/>
        </w:rPr>
        <w:t>مثل :</w:t>
      </w:r>
      <w:proofErr w:type="gramEnd"/>
      <w:r w:rsidRPr="00C81F3B">
        <w:rPr>
          <w:rFonts w:ascii="Sakkal Majalla" w:eastAsia="Calibri" w:hAnsi="Sakkal Majalla" w:cs="Sakkal Majalla"/>
          <w:sz w:val="32"/>
          <w:szCs w:val="32"/>
          <w:rtl/>
          <w:lang w:eastAsia="fr-FR"/>
        </w:rPr>
        <w:t xml:space="preserve"> فهرس  الآيات القرآنية ، والأحاديث، والأشعار، والأعلام، والأماكن والقبائل، والأمثال والحكم ، والمصطلحات .. إلخ. و لا وجه لحصر أنواع الفهارس الممكن عملها؛ لأن ذلك يحكمه طبيعة الكتاب وحاجة </w:t>
      </w:r>
      <w:proofErr w:type="spellStart"/>
      <w:r w:rsidRPr="00C81F3B">
        <w:rPr>
          <w:rFonts w:ascii="Sakkal Majalla" w:eastAsia="Calibri" w:hAnsi="Sakkal Majalla" w:cs="Sakkal Majalla"/>
          <w:sz w:val="32"/>
          <w:szCs w:val="32"/>
          <w:rtl/>
          <w:lang w:eastAsia="fr-FR"/>
        </w:rPr>
        <w:t>المستفدين</w:t>
      </w:r>
      <w:proofErr w:type="spellEnd"/>
      <w:r w:rsidRPr="00C81F3B">
        <w:rPr>
          <w:rFonts w:ascii="Sakkal Majalla" w:eastAsia="Calibri" w:hAnsi="Sakkal Majalla" w:cs="Sakkal Majalla"/>
          <w:sz w:val="32"/>
          <w:szCs w:val="32"/>
          <w:rtl/>
          <w:lang w:eastAsia="fr-FR"/>
        </w:rPr>
        <w:t xml:space="preserve"> منه. وجميع هذه الفهارس تخضع للترتيب حسب طبيعتها فالآيات القرآنية ترتب حسب ترتيب سور القرآن في المصحف الشريف، والأبيات ترتب حسب قافيتها، وباقي الفهارس تُرتب ترتيبا ألفبائيا.</w:t>
      </w:r>
      <w:r w:rsidRPr="00830F1C">
        <w:rPr>
          <w:rFonts w:ascii="Sakkal Majalla" w:eastAsia="Calibri" w:hAnsi="Sakkal Majalla" w:cs="Sakkal Majalla"/>
          <w:sz w:val="32"/>
          <w:szCs w:val="32"/>
          <w:vertAlign w:val="superscript"/>
          <w:rtl/>
          <w:lang w:eastAsia="fr-FR"/>
        </w:rPr>
        <w:t xml:space="preserve"> </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-ولما كان المحقق قد رجع في تحقيق الكتاب إلى مر</w:t>
      </w:r>
      <w:proofErr w:type="gramStart"/>
      <w:r w:rsidRPr="00C81F3B">
        <w:rPr>
          <w:rFonts w:ascii="Sakkal Majalla" w:eastAsia="Calibri" w:hAnsi="Sakkal Majalla" w:cs="Sakkal Majalla"/>
          <w:sz w:val="32"/>
          <w:szCs w:val="32"/>
          <w:rtl/>
          <w:lang w:eastAsia="fr-FR"/>
        </w:rPr>
        <w:t>اجع كثيرة</w:t>
      </w:r>
      <w:proofErr w:type="gramEnd"/>
      <w:r w:rsidRPr="00C81F3B">
        <w:rPr>
          <w:rFonts w:ascii="Sakkal Majalla" w:eastAsia="Calibri" w:hAnsi="Sakkal Majalla" w:cs="Sakkal Majalla"/>
          <w:sz w:val="32"/>
          <w:szCs w:val="32"/>
          <w:rtl/>
          <w:lang w:eastAsia="fr-FR"/>
        </w:rPr>
        <w:t xml:space="preserve"> أو قليلة فمن الواجب وضعها جميعها في مسرد يعرف بقائمة المصادر والمراجع. ويوضع في نهاية الكتاب.</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فللفهارس أهمية كبرى في مراجعة الكتاب والإفادة منه  خاصة:</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-فهرس المحتويات ويشمل </w:t>
      </w:r>
      <w:proofErr w:type="gramStart"/>
      <w:r>
        <w:rPr>
          <w:rFonts w:ascii="Sakkal Majalla" w:eastAsia="Calibri" w:hAnsi="Sakkal Majalla" w:cs="Sakkal Majalla" w:hint="cs"/>
          <w:sz w:val="32"/>
          <w:szCs w:val="32"/>
          <w:rtl/>
          <w:lang w:eastAsia="fr-FR"/>
        </w:rPr>
        <w:t>ذكر</w:t>
      </w:r>
      <w:proofErr w:type="gramEnd"/>
      <w:r>
        <w:rPr>
          <w:rFonts w:ascii="Sakkal Majalla" w:eastAsia="Calibri" w:hAnsi="Sakkal Majalla" w:cs="Sakkal Majalla" w:hint="cs"/>
          <w:sz w:val="32"/>
          <w:szCs w:val="32"/>
          <w:rtl/>
          <w:lang w:eastAsia="fr-FR"/>
        </w:rPr>
        <w:t xml:space="preserve"> الأبواب والفصول.</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-فهرس هجائي لأسماء الاعلام الواردة في الكتاب</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-فهرس هجائي لأسماء الأماكن</w:t>
      </w:r>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-فهارس للمصطلحات والتعبيرات الفنية وغير ذلك مما </w:t>
      </w:r>
      <w:proofErr w:type="spellStart"/>
      <w:r>
        <w:rPr>
          <w:rFonts w:ascii="Sakkal Majalla" w:eastAsia="Calibri" w:hAnsi="Sakkal Majalla" w:cs="Sakkal Majalla" w:hint="cs"/>
          <w:sz w:val="32"/>
          <w:szCs w:val="32"/>
          <w:rtl/>
          <w:lang w:eastAsia="fr-FR"/>
        </w:rPr>
        <w:t>تقتضيه</w:t>
      </w:r>
      <w:proofErr w:type="spellEnd"/>
      <w:r>
        <w:rPr>
          <w:rFonts w:ascii="Sakkal Majalla" w:eastAsia="Calibri" w:hAnsi="Sakkal Majalla" w:cs="Sakkal Majalla" w:hint="cs"/>
          <w:sz w:val="32"/>
          <w:szCs w:val="32"/>
          <w:rtl/>
          <w:lang w:eastAsia="fr-FR"/>
        </w:rPr>
        <w:t xml:space="preserve"> </w:t>
      </w:r>
      <w:proofErr w:type="gramStart"/>
      <w:r>
        <w:rPr>
          <w:rFonts w:ascii="Sakkal Majalla" w:eastAsia="Calibri" w:hAnsi="Sakkal Majalla" w:cs="Sakkal Majalla" w:hint="cs"/>
          <w:sz w:val="32"/>
          <w:szCs w:val="32"/>
          <w:rtl/>
          <w:lang w:eastAsia="fr-FR"/>
        </w:rPr>
        <w:t>الضرورة</w:t>
      </w:r>
      <w:r w:rsidRPr="00624EFA">
        <w:rPr>
          <w:rFonts w:ascii="Sakkal Majalla" w:eastAsia="Calibri" w:hAnsi="Sakkal Majalla" w:cs="Sakkal Majalla"/>
          <w:sz w:val="32"/>
          <w:szCs w:val="32"/>
          <w:vertAlign w:val="superscript"/>
          <w:rtl/>
          <w:lang w:eastAsia="fr-FR"/>
        </w:rPr>
        <w:footnoteReference w:id="4"/>
      </w:r>
      <w:r w:rsidRPr="00624EFA">
        <w:rPr>
          <w:rFonts w:ascii="Sakkal Majalla" w:eastAsia="Calibri" w:hAnsi="Sakkal Majalla" w:cs="Sakkal Majalla"/>
          <w:sz w:val="32"/>
          <w:szCs w:val="32"/>
          <w:rtl/>
          <w:lang w:eastAsia="fr-FR"/>
        </w:rPr>
        <w:t>.</w:t>
      </w:r>
      <w:proofErr w:type="gramEnd"/>
    </w:p>
    <w:p w:rsidR="00073C2F" w:rsidRDefault="00073C2F" w:rsidP="00073C2F">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ولما كان المحقق قد رجع في تحقي التاب إلى مراجع كثيرة أو قليلة، ورد ذكرها في المقدمة أو في الهوامش الموجودة في الكتاب فمن الواجب وضعها جميعا في مسرد يعرف بمسرد المراجع، ويوضع في نهاية </w:t>
      </w:r>
      <w:r>
        <w:rPr>
          <w:rFonts w:ascii="Sakkal Majalla" w:eastAsia="Calibri" w:hAnsi="Sakkal Majalla" w:cs="Sakkal Majalla" w:hint="cs"/>
          <w:sz w:val="32"/>
          <w:szCs w:val="32"/>
          <w:rtl/>
          <w:lang w:eastAsia="fr-FR"/>
        </w:rPr>
        <w:lastRenderedPageBreak/>
        <w:t xml:space="preserve">الكتاب، وبعض هذه المراجع يتعلق بفن تحقيق المخطوطات، وبعضها الاخر يدور حول فهارس المخطوطات، بينما يختص غيرها بالعلوم الموصلة التي استخدمها المحقق لإنجاز تحقيقه... </w:t>
      </w:r>
      <w:r w:rsidRPr="00477EC4">
        <w:rPr>
          <w:rFonts w:ascii="Sakkal Majalla" w:eastAsia="Calibri" w:hAnsi="Sakkal Majalla" w:cs="Sakkal Majalla"/>
          <w:sz w:val="32"/>
          <w:szCs w:val="32"/>
          <w:vertAlign w:val="superscript"/>
          <w:rtl/>
          <w:lang w:eastAsia="fr-FR"/>
        </w:rPr>
        <w:footnoteReference w:id="5"/>
      </w:r>
      <w:r w:rsidRPr="00477EC4">
        <w:rPr>
          <w:rFonts w:ascii="Sakkal Majalla" w:eastAsia="Calibri" w:hAnsi="Sakkal Majalla" w:cs="Sakkal Majalla"/>
          <w:sz w:val="32"/>
          <w:szCs w:val="32"/>
          <w:rtl/>
          <w:lang w:eastAsia="fr-FR"/>
        </w:rPr>
        <w:t>.</w:t>
      </w:r>
    </w:p>
    <w:p w:rsidR="00E36820" w:rsidRDefault="00E36820">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D9C" w:rsidRDefault="006D1D9C" w:rsidP="00073C2F">
      <w:r>
        <w:separator/>
      </w:r>
    </w:p>
  </w:endnote>
  <w:endnote w:type="continuationSeparator" w:id="0">
    <w:p w:rsidR="006D1D9C" w:rsidRDefault="006D1D9C" w:rsidP="000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D9C" w:rsidRDefault="006D1D9C" w:rsidP="00073C2F">
      <w:r>
        <w:separator/>
      </w:r>
    </w:p>
  </w:footnote>
  <w:footnote w:type="continuationSeparator" w:id="0">
    <w:p w:rsidR="006D1D9C" w:rsidRDefault="006D1D9C" w:rsidP="00073C2F">
      <w:r>
        <w:continuationSeparator/>
      </w:r>
    </w:p>
  </w:footnote>
  <w:footnote w:id="1">
    <w:p w:rsidR="00073C2F" w:rsidRPr="006B1700" w:rsidRDefault="00073C2F" w:rsidP="00073C2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ونشرها، ص </w:t>
      </w:r>
      <w:proofErr w:type="gramStart"/>
      <w:r w:rsidRPr="006B1700">
        <w:rPr>
          <w:rFonts w:ascii="Sakkal Majalla" w:hAnsi="Sakkal Majalla" w:cs="Sakkal Majalla"/>
          <w:sz w:val="24"/>
          <w:szCs w:val="24"/>
          <w:rtl/>
        </w:rPr>
        <w:t>92 .</w:t>
      </w:r>
      <w:proofErr w:type="gramEnd"/>
    </w:p>
  </w:footnote>
  <w:footnote w:id="2">
    <w:p w:rsidR="00073C2F" w:rsidRPr="006B1700" w:rsidRDefault="00073C2F" w:rsidP="00073C2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فهمي سعد طلال مجدوب:  تحقيق المخطوطات بين النظرية والتطبيق، ص 46.</w:t>
      </w:r>
    </w:p>
  </w:footnote>
  <w:footnote w:id="3">
    <w:p w:rsidR="00073C2F" w:rsidRPr="006B1700" w:rsidRDefault="00073C2F" w:rsidP="00073C2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عبد الهادي الفضلي: تحقيق التراث،  ص201-202.</w:t>
      </w:r>
    </w:p>
  </w:footnote>
  <w:footnote w:id="4">
    <w:p w:rsidR="00073C2F" w:rsidRPr="006B1700" w:rsidRDefault="00073C2F" w:rsidP="00073C2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عبد القهار داود العاني: منهج البحث والتحقيق في الدراسات العلمية والإنسانية، دار وحي القلم دمشق، ط1، 2014، ص 121-122.</w:t>
      </w:r>
    </w:p>
  </w:footnote>
  <w:footnote w:id="5">
    <w:p w:rsidR="00073C2F" w:rsidRPr="006B1700" w:rsidRDefault="00073C2F" w:rsidP="00073C2F">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فهمي سعد طلال مجذوب، تحقيق المخطوطات بين النظرية، </w:t>
      </w:r>
      <w:proofErr w:type="gramStart"/>
      <w:r w:rsidRPr="006B1700">
        <w:rPr>
          <w:rFonts w:ascii="Sakkal Majalla" w:hAnsi="Sakkal Majalla" w:cs="Sakkal Majalla"/>
          <w:sz w:val="24"/>
          <w:szCs w:val="24"/>
          <w:rtl/>
        </w:rPr>
        <w:t>والتطبيق</w:t>
      </w:r>
      <w:proofErr w:type="gramEnd"/>
      <w:r w:rsidRPr="006B1700">
        <w:rPr>
          <w:rFonts w:ascii="Sakkal Majalla" w:hAnsi="Sakkal Majalla" w:cs="Sakkal Majalla"/>
          <w:sz w:val="24"/>
          <w:szCs w:val="24"/>
          <w:rtl/>
        </w:rPr>
        <w:t>، ص47- 48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6C"/>
    <w:rsid w:val="00073C2F"/>
    <w:rsid w:val="002F1D63"/>
    <w:rsid w:val="006D1D9C"/>
    <w:rsid w:val="009C406C"/>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C2F"/>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73C2F"/>
    <w:rPr>
      <w:sz w:val="20"/>
      <w:szCs w:val="20"/>
    </w:rPr>
  </w:style>
  <w:style w:type="character" w:customStyle="1" w:styleId="NotedebasdepageCar">
    <w:name w:val="Note de bas de page Car"/>
    <w:basedOn w:val="Policepardfaut"/>
    <w:link w:val="Notedebasdepage"/>
    <w:uiPriority w:val="99"/>
    <w:rsid w:val="00073C2F"/>
    <w:rPr>
      <w:sz w:val="20"/>
      <w:szCs w:val="20"/>
    </w:rPr>
  </w:style>
  <w:style w:type="character" w:styleId="Appelnotedebasdep">
    <w:name w:val="footnote reference"/>
    <w:basedOn w:val="Policepardfaut"/>
    <w:uiPriority w:val="99"/>
    <w:semiHidden/>
    <w:unhideWhenUsed/>
    <w:rsid w:val="00073C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C2F"/>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73C2F"/>
    <w:rPr>
      <w:sz w:val="20"/>
      <w:szCs w:val="20"/>
    </w:rPr>
  </w:style>
  <w:style w:type="character" w:customStyle="1" w:styleId="NotedebasdepageCar">
    <w:name w:val="Note de bas de page Car"/>
    <w:basedOn w:val="Policepardfaut"/>
    <w:link w:val="Notedebasdepage"/>
    <w:uiPriority w:val="99"/>
    <w:rsid w:val="00073C2F"/>
    <w:rPr>
      <w:sz w:val="20"/>
      <w:szCs w:val="20"/>
    </w:rPr>
  </w:style>
  <w:style w:type="character" w:styleId="Appelnotedebasdep">
    <w:name w:val="footnote reference"/>
    <w:basedOn w:val="Policepardfaut"/>
    <w:uiPriority w:val="99"/>
    <w:semiHidden/>
    <w:unhideWhenUsed/>
    <w:rsid w:val="00073C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2025-09-20T13:34:00Z</dcterms:created>
  <dcterms:modified xsi:type="dcterms:W3CDTF">2025-09-20T13:35:00Z</dcterms:modified>
</cp:coreProperties>
</file>