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14" w:rsidRDefault="006B4514" w:rsidP="009C1578">
      <w:pPr>
        <w:bidi/>
        <w:spacing w:after="120" w:line="276" w:lineRule="auto"/>
        <w:ind w:hanging="1"/>
        <w:jc w:val="center"/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40"/>
          <w:szCs w:val="40"/>
          <w:rtl/>
        </w:rPr>
      </w:pPr>
    </w:p>
    <w:p w:rsidR="009C1578" w:rsidRPr="005679CA" w:rsidRDefault="009C1578" w:rsidP="006B4514">
      <w:pPr>
        <w:bidi/>
        <w:spacing w:after="120" w:line="276" w:lineRule="auto"/>
        <w:ind w:hanging="1"/>
        <w:jc w:val="center"/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40"/>
          <w:szCs w:val="40"/>
          <w:rtl/>
        </w:rPr>
      </w:pPr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36"/>
          <w:sz w:val="40"/>
          <w:szCs w:val="40"/>
          <w:rtl/>
        </w:rPr>
        <w:t>المفرد والمثنى والجمع في اللغة العثمانية</w:t>
      </w:r>
    </w:p>
    <w:p w:rsidR="009C1578" w:rsidRPr="006B4514" w:rsidRDefault="006B4514" w:rsidP="009C1578">
      <w:pPr>
        <w:bidi/>
        <w:spacing w:after="120" w:line="276" w:lineRule="auto"/>
        <w:ind w:firstLine="283"/>
        <w:jc w:val="center"/>
        <w:rPr>
          <w:rFonts w:ascii="UKIJ Nasq" w:hAnsi="UKIJ Nasq" w:cs="UKIJ Nasq"/>
          <w:color w:val="767171" w:themeColor="background2" w:themeShade="80"/>
          <w:spacing w:val="-2"/>
          <w:kern w:val="36"/>
          <w:sz w:val="28"/>
          <w:szCs w:val="28"/>
        </w:rPr>
      </w:pPr>
      <w:r w:rsidRPr="006B4514">
        <w:rPr>
          <w:rFonts w:ascii="UKIJ Nasq" w:hAnsi="UKIJ Nasq" w:cs="UKIJ Nasq" w:hint="cs"/>
          <w:color w:val="767171" w:themeColor="background2" w:themeShade="80"/>
          <w:spacing w:val="-2"/>
          <w:kern w:val="36"/>
          <w:sz w:val="28"/>
          <w:szCs w:val="28"/>
          <w:rtl/>
        </w:rPr>
        <w:t>د. أمين محرز</w:t>
      </w:r>
    </w:p>
    <w:p w:rsidR="009C1578" w:rsidRDefault="009C1578" w:rsidP="006B4514">
      <w:pPr>
        <w:bidi/>
        <w:spacing w:line="276" w:lineRule="auto"/>
        <w:ind w:firstLine="284"/>
        <w:jc w:val="center"/>
        <w:rPr>
          <w:rFonts w:ascii="UKIJ Nasq" w:hAnsi="UKIJ Nasq" w:cs="UKIJ Nasq"/>
          <w:spacing w:val="-2"/>
          <w:kern w:val="36"/>
          <w:sz w:val="36"/>
          <w:szCs w:val="36"/>
          <w:rtl/>
        </w:rPr>
      </w:pPr>
    </w:p>
    <w:p w:rsidR="006B4514" w:rsidRPr="00FD0956" w:rsidRDefault="006B4514" w:rsidP="006B4514">
      <w:pPr>
        <w:bidi/>
        <w:spacing w:line="276" w:lineRule="auto"/>
        <w:ind w:firstLine="284"/>
        <w:jc w:val="center"/>
        <w:rPr>
          <w:rFonts w:ascii="UKIJ Nasq" w:hAnsi="UKIJ Nasq" w:cs="UKIJ Nasq"/>
          <w:spacing w:val="-2"/>
          <w:kern w:val="36"/>
          <w:sz w:val="36"/>
          <w:szCs w:val="36"/>
          <w:rtl/>
        </w:rPr>
      </w:pP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المفرد هو ما يدلّ على شيء أو شخص واحد،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خانه "محلّ"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ﺗَﯖْﺮي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"الله </w:t>
      </w:r>
      <w:r w:rsidRPr="00FD0956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ﷻ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".</w:t>
      </w:r>
    </w:p>
    <w:p w:rsidR="009C1578" w:rsidRPr="00FD0956" w:rsidRDefault="009C1578" w:rsidP="009C1578">
      <w:pPr>
        <w:bidi/>
        <w:spacing w:after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ويمكن أ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ن يتقدّم الكلمة المفردة اللفظ ب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ر "واحد(ة)"، </w:t>
      </w:r>
      <w:proofErr w:type="gramStart"/>
      <w:r w:rsidRPr="00DF5407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ر رُخْصَت "الرخصة" ؛ ب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 جُمْله "جملة واحدة".</w:t>
      </w: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لا صيغة خاصة للتثنية في العثمانية مثلما 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تلك ال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موجودة في اللغة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العربية ؛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وتثنّى الكلمات بوضع اللفظة ايكي "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اﺛﻨ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(ﺘ)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ﺎن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" قبلها. </w:t>
      </w:r>
      <w:proofErr w:type="gramStart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proofErr w:type="gramEnd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ايكي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ﮔﯚز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"عينان" ؛ ايكي </w:t>
      </w:r>
      <w:proofErr w:type="spellStart"/>
      <w:r w:rsidRPr="00F14656">
        <w:rPr>
          <w:rFonts w:ascii="UKIJ Nasq" w:hAnsi="UKIJ Nasq" w:cs="UKIJ Nasq"/>
          <w:spacing w:val="4"/>
          <w:kern w:val="16"/>
          <w:sz w:val="36"/>
          <w:szCs w:val="36"/>
          <w:rtl/>
        </w:rPr>
        <w:t>قيزقَرْداش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"أختان".</w:t>
      </w:r>
    </w:p>
    <w:p w:rsidR="009C1578" w:rsidRPr="00FD0956" w:rsidRDefault="009C1578" w:rsidP="009C1578">
      <w:pPr>
        <w:numPr>
          <w:ilvl w:val="0"/>
          <w:numId w:val="1"/>
        </w:numPr>
        <w:bidi/>
        <w:spacing w:after="120"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الجمع هو ما يدلّ على العديد من الأغراض أو الأشياء أو الأشخاص، ويصاغ بوضع اللاحقة </w:t>
      </w:r>
      <w:proofErr w:type="spellStart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أو </w:t>
      </w:r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لار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في آخر اللفظ المفرد. تجدر </w:t>
      </w:r>
      <w:r>
        <w:rPr>
          <w:rFonts w:ascii="UKIJ Nasq" w:hAnsi="UKIJ Nasq" w:cs="UKIJ Nasq"/>
          <w:spacing w:val="-2"/>
          <w:kern w:val="16"/>
          <w:sz w:val="36"/>
          <w:szCs w:val="36"/>
          <w:rtl/>
        </w:rPr>
        <w:t>الإشارة إلى أنّ لام لاحقة الجمع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لا تقبل إلاّ الفتحة، الّتي </w:t>
      </w:r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تكون خفيفة إذا كانت الحركة الأخيرة في اللفظ خفيفة أو إذا كانت جميع حركاتها خفيفة، </w:t>
      </w:r>
      <w:proofErr w:type="gramStart"/>
      <w:r w:rsidRPr="00767C1F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proofErr w:type="gramEnd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ﮔﺠﻪ</w:t>
      </w:r>
      <w:proofErr w:type="spellEnd"/>
      <w:r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"ليالي"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ﭼَﮕْﻨْﻠ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ﺮ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"أكتاف".</w:t>
      </w:r>
    </w:p>
    <w:p w:rsidR="009C1578" w:rsidRPr="00FD0956" w:rsidRDefault="009C1578" w:rsidP="009C1578">
      <w:pPr>
        <w:bidi/>
        <w:spacing w:after="120"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وتكون الفتحة ثقيلة إذا كانت الحركة الأخيرة في اللفظة ثقيلة، أو إذا كانت كلّ حركات اللفظ ثقيلة، </w:t>
      </w:r>
      <w:proofErr w:type="gramStart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>مثال :</w:t>
      </w:r>
      <w:proofErr w:type="gramEnd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قيزلار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"بنات"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بالِق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"أسماك".</w:t>
      </w: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>تذكير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عند إضافة اللواحق، يجب دومًا مراعاة الحرف الصوتي الأخير.</w:t>
      </w:r>
    </w:p>
    <w:p w:rsidR="009C1578" w:rsidRPr="00FD0956" w:rsidRDefault="009C1578" w:rsidP="009C1578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9C1578" w:rsidRPr="00FD0956" w:rsidSect="003C4A56">
          <w:footerReference w:type="default" r:id="rId7"/>
          <w:headerReference w:type="first" r:id="rId8"/>
          <w:pgSz w:w="11906" w:h="16838"/>
          <w:pgMar w:top="1134" w:right="1559" w:bottom="1134" w:left="992" w:header="720" w:footer="720" w:gutter="0"/>
          <w:pgNumType w:start="1"/>
          <w:cols w:space="720"/>
          <w:titlePg/>
          <w:bidi/>
          <w:docGrid w:linePitch="326"/>
        </w:sectPr>
      </w:pP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الثقيلة : او،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اﻳ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، ي، 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أو لار</w:t>
      </w:r>
    </w:p>
    <w:p w:rsidR="009C1578" w:rsidRPr="00FD0956" w:rsidRDefault="009C1578" w:rsidP="009C1578">
      <w:pPr>
        <w:bidi/>
        <w:spacing w:after="120" w:line="276" w:lineRule="auto"/>
        <w:ind w:firstLine="6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الخفيفة : ـﻪ، و، اِ، ــــــــَ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</w:p>
    <w:p w:rsidR="009C1578" w:rsidRPr="00FD0956" w:rsidRDefault="009C1578" w:rsidP="009C1578">
      <w:pPr>
        <w:bidi/>
        <w:spacing w:after="120"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9C1578" w:rsidRPr="00FD0956" w:rsidSect="003C4A56">
          <w:type w:val="continuous"/>
          <w:pgSz w:w="11906" w:h="16838"/>
          <w:pgMar w:top="1134" w:right="1559" w:bottom="1134" w:left="992" w:header="720" w:footer="720" w:gutter="0"/>
          <w:cols w:num="2" w:space="720"/>
          <w:bidi/>
        </w:sectPr>
      </w:pPr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proofErr w:type="gramStart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lastRenderedPageBreak/>
        <w:t>أمثلة :</w:t>
      </w:r>
      <w:proofErr w:type="gramEnd"/>
      <w:r w:rsidRPr="00767C1F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ﮔﯚزلر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"أعين"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اوْلر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"بيوت"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انسانلار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"أشخاص"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ﺗَﭙﻪ</w:t>
      </w:r>
      <w:proofErr w:type="spellEnd"/>
      <w:r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"مرتفعات، روابي"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ايشلر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"أعمال، مشاغل" ؛ </w:t>
      </w:r>
      <w:proofErr w:type="spellStart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ﭼﻮجُقلر</w:t>
      </w:r>
      <w:proofErr w:type="spellEnd"/>
      <w:r w:rsidRPr="00F14656"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/</w:t>
      </w:r>
      <w:proofErr w:type="spellStart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ﭼﻮ</w:t>
      </w:r>
      <w:r w:rsidRPr="00F14656"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ﺟﯘ</w:t>
      </w:r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قلر</w:t>
      </w:r>
      <w:proofErr w:type="spellEnd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"أطفال" ؛ </w:t>
      </w:r>
      <w:proofErr w:type="spellStart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آتالر</w:t>
      </w:r>
      <w:proofErr w:type="spellEnd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"الأجداد" ؛ </w:t>
      </w:r>
      <w:proofErr w:type="spellStart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اورمانلر</w:t>
      </w:r>
      <w:proofErr w:type="spellEnd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"غابات" ؛ جَبه</w:t>
      </w:r>
      <w:r w:rsidRPr="00F146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proofErr w:type="spellStart"/>
      <w:r w:rsidRPr="00F146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F14656">
        <w:rPr>
          <w:rFonts w:ascii="UKIJ Nasq" w:hAnsi="UKIJ Nasq" w:cs="UKIJ Nasq"/>
          <w:kern w:val="16"/>
          <w:sz w:val="36"/>
          <w:szCs w:val="36"/>
          <w:rtl/>
        </w:rPr>
        <w:t xml:space="preserve">"دروع" ؛ </w:t>
      </w:r>
      <w:proofErr w:type="spellStart"/>
      <w:r w:rsidRPr="00F14656">
        <w:rPr>
          <w:rFonts w:ascii="UKIJ Nasq" w:hAnsi="UKIJ Nasq" w:cs="UKIJ Nasq"/>
          <w:kern w:val="16"/>
          <w:sz w:val="36"/>
          <w:szCs w:val="36"/>
          <w:rtl/>
        </w:rPr>
        <w:t>دايلر</w:t>
      </w:r>
      <w:proofErr w:type="spellEnd"/>
      <w:r w:rsidRPr="00F14656">
        <w:rPr>
          <w:rFonts w:ascii="UKIJ Nasq" w:hAnsi="UKIJ Nasq" w:cs="UKIJ Nasq"/>
          <w:kern w:val="16"/>
          <w:sz w:val="36"/>
          <w:szCs w:val="36"/>
          <w:rtl/>
        </w:rPr>
        <w:t xml:space="preserve"> "أخوال، دايات" ؛ </w:t>
      </w:r>
      <w:proofErr w:type="spellStart"/>
      <w:r w:rsidRPr="00F14656">
        <w:rPr>
          <w:rFonts w:ascii="UKIJ Nasq" w:hAnsi="UKIJ Nasq" w:cs="UKIJ Nasq"/>
          <w:kern w:val="16"/>
          <w:sz w:val="36"/>
          <w:szCs w:val="36"/>
          <w:rtl/>
        </w:rPr>
        <w:t>ﮔﯜنلر</w:t>
      </w:r>
      <w:proofErr w:type="spellEnd"/>
      <w:r w:rsidRPr="00F14656">
        <w:rPr>
          <w:rFonts w:ascii="UKIJ Nasq" w:hAnsi="UKIJ Nasq" w:cs="UKIJ Nasq"/>
          <w:kern w:val="16"/>
          <w:sz w:val="36"/>
          <w:szCs w:val="36"/>
          <w:rtl/>
        </w:rPr>
        <w:t xml:space="preserve"> "أيّام" ؛ </w:t>
      </w:r>
      <w:proofErr w:type="spellStart"/>
      <w:r w:rsidRPr="00F14656">
        <w:rPr>
          <w:rFonts w:ascii="UKIJ Nasq" w:hAnsi="UKIJ Nasq" w:cs="UKIJ Nasq"/>
          <w:kern w:val="16"/>
          <w:sz w:val="36"/>
          <w:szCs w:val="36"/>
          <w:rtl/>
        </w:rPr>
        <w:t>ﭘﺎشالار</w:t>
      </w:r>
      <w:proofErr w:type="spellEnd"/>
      <w:r w:rsidRPr="00F14656">
        <w:rPr>
          <w:rFonts w:ascii="UKIJ Nasq" w:hAnsi="UKIJ Nasq" w:cs="UKIJ Nasq"/>
          <w:kern w:val="16"/>
          <w:sz w:val="36"/>
          <w:szCs w:val="36"/>
          <w:rtl/>
        </w:rPr>
        <w:t xml:space="preserve"> "باشوات" ؛ آنه</w:t>
      </w:r>
      <w:r w:rsidRPr="00F146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proofErr w:type="spellStart"/>
      <w:r w:rsidRPr="00F14656">
        <w:rPr>
          <w:rFonts w:ascii="UKIJ Nasq" w:hAnsi="UKIJ Nasq" w:cs="UKIJ Nasq"/>
          <w:kern w:val="16"/>
          <w:sz w:val="36"/>
          <w:szCs w:val="36"/>
          <w:rtl/>
        </w:rPr>
        <w:t>لر</w:t>
      </w:r>
      <w:proofErr w:type="spellEnd"/>
      <w:r w:rsidRPr="00F14656">
        <w:rPr>
          <w:rFonts w:ascii="UKIJ Nasq" w:hAnsi="UKIJ Nasq" w:cs="UKIJ Nasq"/>
          <w:kern w:val="16"/>
          <w:sz w:val="36"/>
          <w:szCs w:val="36"/>
          <w:rtl/>
        </w:rPr>
        <w:t xml:space="preserve"> "أمّهات".</w:t>
      </w:r>
    </w:p>
    <w:p w:rsidR="009C1578" w:rsidRDefault="009C1578" w:rsidP="006B4514">
      <w:pPr>
        <w:bidi/>
        <w:spacing w:after="120" w:line="276" w:lineRule="auto"/>
        <w:jc w:val="both"/>
        <w:rPr>
          <w:rFonts w:ascii="UKIJ Nasq" w:hAnsi="UKIJ Nasq" w:cs="UKIJ Nasq"/>
          <w:spacing w:val="4"/>
          <w:kern w:val="16"/>
          <w:sz w:val="36"/>
          <w:szCs w:val="36"/>
        </w:rPr>
      </w:pPr>
      <w:proofErr w:type="gramStart"/>
      <w:r w:rsidRPr="00767C1F">
        <w:rPr>
          <w:rFonts w:ascii="UKIJ Nasq" w:hAnsi="UKIJ Nasq" w:cs="UKIJ Nasq"/>
          <w:b/>
          <w:bCs/>
          <w:color w:val="A6A6A6" w:themeColor="background1" w:themeShade="A6"/>
          <w:spacing w:val="4"/>
          <w:kern w:val="16"/>
          <w:sz w:val="36"/>
          <w:szCs w:val="36"/>
          <w:rtl/>
        </w:rPr>
        <w:t>تنبيه :</w:t>
      </w:r>
      <w:proofErr w:type="gramEnd"/>
      <w:r w:rsidRPr="00767C1F">
        <w:rPr>
          <w:rFonts w:ascii="UKIJ Nasq" w:hAnsi="UKIJ Nasq" w:cs="UKIJ Nasq"/>
          <w:color w:val="A6A6A6" w:themeColor="background1" w:themeShade="A6"/>
          <w:spacing w:val="4"/>
          <w:kern w:val="16"/>
          <w:sz w:val="36"/>
          <w:szCs w:val="36"/>
          <w:rtl/>
        </w:rPr>
        <w:t xml:space="preserve"> </w:t>
      </w:r>
      <w:r w:rsidRPr="00E67CA1">
        <w:rPr>
          <w:rFonts w:ascii="UKIJ Nasq" w:hAnsi="UKIJ Nasq" w:cs="UKIJ Nasq"/>
          <w:spacing w:val="4"/>
          <w:kern w:val="16"/>
          <w:sz w:val="36"/>
          <w:szCs w:val="36"/>
          <w:rtl/>
        </w:rPr>
        <w:t>الجدير بالذكر أنّ العثمانيين اقتبسوا أيضًا صيغة الجمع في اللغة الفارسية، حيث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لحظنا استخدامها في بعض الأحيان سواء في كلمات ت</w:t>
      </w:r>
      <w:r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ركية أو كلمات ذات أصلٍ فارسي. 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وتتمّ صياغة الجمع بإضافة اللاحقة </w:t>
      </w:r>
      <w:proofErr w:type="spellStart"/>
      <w:r w:rsidRPr="0079309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ﺎن</w:t>
      </w:r>
      <w:proofErr w:type="spellEnd"/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للاسم الّذي يخصّ شيئًا حيًا (إنسان - حيوان -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نبات</w:t>
      </w:r>
      <w:proofErr w:type="gramStart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) :</w:t>
      </w:r>
      <w:proofErr w:type="gramEnd"/>
    </w:p>
    <w:p w:rsidR="006B4514" w:rsidRDefault="006B4514" w:rsidP="009C1578">
      <w:pPr>
        <w:bidi/>
        <w:spacing w:after="120" w:line="276" w:lineRule="auto"/>
        <w:jc w:val="both"/>
        <w:rPr>
          <w:rFonts w:ascii="UKIJ Nasq" w:hAnsi="UKIJ Nasq" w:cs="UKIJ Nasq"/>
          <w:spacing w:val="4"/>
          <w:kern w:val="16"/>
          <w:sz w:val="36"/>
          <w:szCs w:val="36"/>
          <w:rtl/>
        </w:rPr>
      </w:pPr>
    </w:p>
    <w:p w:rsidR="009C1578" w:rsidRPr="00FD0956" w:rsidRDefault="009C1578" w:rsidP="006B4514">
      <w:pPr>
        <w:bidi/>
        <w:spacing w:after="12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ﺑُﻠﯘ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كْباشي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"قائد سرية"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ﺑُﻠﯘ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كْباشيان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ﺳِﭙﺎهي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"فارس نظامي"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ﺳﭙﺎهيان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،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دِلاوَر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"شجاع"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دلاوران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مَرْد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مردان "رجال"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دِرَخْت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درختان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"أشجار". وأمّا إذا كان الاسم يعود لجماد،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فيجمع بإضافة اللاحقة </w:t>
      </w:r>
      <w:proofErr w:type="spellStart"/>
      <w:r w:rsidRPr="0079309A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ﻬﺎ</w:t>
      </w:r>
      <w:proofErr w:type="spellEnd"/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.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Pr="00767C1F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باغ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باغها "بساتين" ؛ سال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سالها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"سنين".</w:t>
      </w:r>
    </w:p>
    <w:p w:rsidR="009C1578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2A610A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r w:rsidRPr="002A610A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يحتفظ عددٌ ليس بقليل من الكلمات العربية الموجودة بكثرة في اللغة العثمانية </w:t>
      </w:r>
      <w:r w:rsidRPr="002A610A">
        <w:rPr>
          <w:rFonts w:ascii="UKIJ Nasq" w:hAnsi="UKIJ Nasq" w:cs="UKIJ Nasq"/>
          <w:spacing w:val="4"/>
          <w:kern w:val="16"/>
          <w:sz w:val="36"/>
          <w:szCs w:val="36"/>
          <w:rtl/>
        </w:rPr>
        <w:t>بصيغها الأصلية للجمع، علمًا بأنّ بيانات الكلمة وجمعها قد ترد مجتمعة في القواميس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العثمانية أو منفصلة كما لو تعلّق الأمر بلفظين مختلفين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؛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وك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>أمثلة</w:t>
      </w:r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عن ذلك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: تل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َ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>طّ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ف "عطف"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</w:t>
      </w:r>
      <w:proofErr w:type="spellStart"/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تلطّفات</w:t>
      </w:r>
      <w:proofErr w:type="spellEnd"/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"ألطاف" ؛ </w:t>
      </w:r>
      <w:proofErr w:type="spellStart"/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منفع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َ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ت</w:t>
      </w:r>
      <w:proofErr w:type="spellEnd"/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"منفعة"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منافع ؛ ثغر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ثغور ؛ ث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َ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ن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ِ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>ي</w:t>
      </w:r>
      <w:r>
        <w:rPr>
          <w:rFonts w:ascii="UKIJ Nasq" w:hAnsi="UKIJ Nasq" w:cs="UKIJ Nasq" w:hint="cs"/>
          <w:spacing w:val="-4"/>
          <w:kern w:val="16"/>
          <w:sz w:val="36"/>
          <w:szCs w:val="36"/>
          <w:rtl/>
        </w:rPr>
        <w:t>ّ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ة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ثنايا "مصاعب" ؛</w:t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قاعدة </w:t>
      </w:r>
      <w:r w:rsidRPr="002A610A">
        <w:rPr>
          <w:rFonts w:ascii="UKIJ Nasq" w:hAnsi="UKIJ Nasq" w:cs="UKIJ Nasq"/>
          <w:kern w:val="16"/>
          <w:sz w:val="36"/>
          <w:szCs w:val="36"/>
        </w:rPr>
        <w:sym w:font="Wingdings 3" w:char="F089"/>
      </w:r>
      <w:r w:rsidRPr="002A610A">
        <w:rPr>
          <w:rFonts w:ascii="UKIJ Nasq" w:hAnsi="UKIJ Nasq" w:cs="UKIJ Nasq"/>
          <w:kern w:val="16"/>
          <w:sz w:val="36"/>
          <w:szCs w:val="36"/>
          <w:rtl/>
        </w:rPr>
        <w:t xml:space="preserve"> قواعد. </w:t>
      </w:r>
    </w:p>
    <w:p w:rsidR="009C1578" w:rsidRPr="00396237" w:rsidRDefault="009C1578" w:rsidP="006B4514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227A67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تنبيه :</w:t>
      </w:r>
      <w:proofErr w:type="gramEnd"/>
      <w:r w:rsidRPr="00227A67">
        <w:rPr>
          <w:rFonts w:ascii="UKIJ Nasq" w:hAnsi="UKIJ Nasq" w:cs="UKIJ Nasq" w:hint="cs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 xml:space="preserve"> </w:t>
      </w:r>
      <w:r w:rsidRPr="00227A67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لحظنا في بعض الحالات - ولا سيّما بالنسبة لمصطلحات تاريخية </w:t>
      </w:r>
      <w:r w:rsidRPr="00227A67">
        <w:rPr>
          <w:rFonts w:ascii="UKIJ Nasq" w:hAnsi="UKIJ Nasq" w:cs="UKIJ Nasq"/>
          <w:spacing w:val="2"/>
          <w:kern w:val="16"/>
          <w:sz w:val="36"/>
          <w:szCs w:val="36"/>
          <w:rtl/>
        </w:rPr>
        <w:t>–</w:t>
      </w:r>
      <w:r w:rsidRPr="00227A67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استخدام صيغ</w:t>
      </w:r>
      <w:r>
        <w:rPr>
          <w:rFonts w:ascii="UKIJ Nasq" w:hAnsi="UKIJ Nasq" w:cs="UKIJ Nasq" w:hint="cs"/>
          <w:spacing w:val="4"/>
          <w:kern w:val="16"/>
          <w:sz w:val="36"/>
          <w:szCs w:val="36"/>
          <w:rtl/>
        </w:rPr>
        <w:t xml:space="preserve"> الجمع العربية، على غرار </w:t>
      </w:r>
      <w:proofErr w:type="spellStart"/>
      <w:r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ﺎ</w:t>
      </w:r>
      <w:r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>ت</w:t>
      </w:r>
      <w:proofErr w:type="spellEnd"/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. </w:t>
      </w:r>
      <w:r w:rsidRPr="00DF5407"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 xml:space="preserve">مثال : </w:t>
      </w:r>
      <w:proofErr w:type="spellStart"/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ﯚﻟﯘك</w:t>
      </w:r>
      <w:proofErr w:type="spellEnd"/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"فرقة" </w:t>
      </w:r>
      <w:r w:rsidRPr="00E67CA1">
        <w:rPr>
          <w:rFonts w:ascii="UKIJ Nasq" w:hAnsi="UKIJ Nasq" w:cs="UKIJ Nasq"/>
          <w:spacing w:val="-4"/>
          <w:kern w:val="16"/>
          <w:sz w:val="36"/>
          <w:szCs w:val="36"/>
        </w:rPr>
        <w:sym w:font="Wingdings 3" w:char="F089"/>
      </w:r>
      <w:r w:rsidRPr="00E67CA1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ﯚﻟﯘكات</w:t>
      </w:r>
      <w:proofErr w:type="spellEnd"/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._ </w:t>
      </w:r>
      <w:proofErr w:type="spellStart"/>
      <w:r>
        <w:rPr>
          <w:rFonts w:ascii="UKIJ Nasq" w:hAnsi="UKIJ Nasq" w:cs="UKIJ Nasq"/>
          <w:kern w:val="16"/>
          <w:sz w:val="36"/>
          <w:szCs w:val="36"/>
          <w:rtl/>
        </w:rPr>
        <w:t>ﺑ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ﯚﻟﯘكات</w:t>
      </w:r>
      <w:proofErr w:type="spellEnd"/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اربعه "اسم كان يعطى لأربعة سرايا ملحقة </w:t>
      </w:r>
      <w:proofErr w:type="spellStart"/>
      <w:r>
        <w:rPr>
          <w:rFonts w:ascii="UKIJ Nasq" w:hAnsi="UKIJ Nasq" w:cs="UKIJ Nasq" w:hint="cs"/>
          <w:kern w:val="16"/>
          <w:sz w:val="36"/>
          <w:szCs w:val="36"/>
          <w:rtl/>
        </w:rPr>
        <w:t>بأوجاقي</w:t>
      </w:r>
      <w:proofErr w:type="spellEnd"/>
      <w:r>
        <w:rPr>
          <w:rFonts w:ascii="UKIJ Nasq" w:hAnsi="UKIJ Nasq" w:cs="UKIJ Nasq" w:hint="cs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kern w:val="16"/>
          <w:sz w:val="36"/>
          <w:szCs w:val="36"/>
          <w:rtl/>
        </w:rPr>
        <w:t>ا</w:t>
      </w:r>
      <w:r>
        <w:rPr>
          <w:rFonts w:ascii="UKIJ Nasq" w:hAnsi="UKIJ Nasq" w:cs="UKIJ Nasq"/>
          <w:kern w:val="16"/>
          <w:sz w:val="36"/>
          <w:szCs w:val="36"/>
          <w:rtl/>
        </w:rPr>
        <w:t>ﻟ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ﺴ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ﭙﺎه</w:t>
      </w:r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ية</w:t>
      </w:r>
      <w:proofErr w:type="spellEnd"/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والسلحدارية</w:t>
      </w:r>
      <w:proofErr w:type="spellEnd"/>
      <w:r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 xml:space="preserve"> (حرس سلطاني).</w:t>
      </w:r>
    </w:p>
    <w:p w:rsidR="009C1578" w:rsidRPr="009C1578" w:rsidRDefault="009C1578" w:rsidP="006B4514">
      <w:pPr>
        <w:bidi/>
        <w:spacing w:line="276" w:lineRule="auto"/>
        <w:ind w:firstLine="283"/>
        <w:jc w:val="both"/>
        <w:rPr>
          <w:rFonts w:ascii="UKIJ Nasq" w:hAnsi="UKIJ Nasq" w:cs="UKIJ Nasq"/>
          <w:spacing w:val="-1"/>
          <w:kern w:val="16"/>
          <w:sz w:val="6"/>
          <w:szCs w:val="6"/>
          <w:rtl/>
        </w:rPr>
      </w:pPr>
    </w:p>
    <w:p w:rsidR="009C1578" w:rsidRPr="00CB4B25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-1"/>
          <w:kern w:val="16"/>
          <w:sz w:val="36"/>
          <w:szCs w:val="36"/>
          <w:rtl/>
        </w:rPr>
        <w:t>تطبيق :</w:t>
      </w:r>
      <w:proofErr w:type="gramEnd"/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اجعل الألفاظ التالية بصيغة الجمع، وترجمها إلى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العربية :</w:t>
      </w:r>
      <w:proofErr w:type="gramEnd"/>
    </w:p>
    <w:p w:rsidR="009C1578" w:rsidRPr="00FD0956" w:rsidRDefault="009C1578" w:rsidP="009C1578">
      <w:pPr>
        <w:bidi/>
        <w:spacing w:after="12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9C1578" w:rsidRPr="00FD0956" w:rsidSect="003C4A56">
          <w:type w:val="continuous"/>
          <w:pgSz w:w="11906" w:h="16838"/>
          <w:pgMar w:top="1134" w:right="1559" w:bottom="1134" w:left="992" w:header="720" w:footer="720" w:gutter="0"/>
          <w:cols w:space="720"/>
          <w:bidi/>
        </w:sectPr>
      </w:pP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آت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آت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"أحصنة"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باﻏ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ﭽﻪ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باﻏﭽﻪ</w:t>
      </w:r>
      <w:proofErr w:type="spellEnd"/>
      <w:r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proofErr w:type="spellStart"/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"حدائق"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بال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بال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"أعسال"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ديش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ديش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"أسنان"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ﻤﻲ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ﮔﻤﻴ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ﻠﺮ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"سفن"</w:t>
      </w:r>
    </w:p>
    <w:p w:rsidR="006B4514" w:rsidRDefault="006B4514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6B4514" w:rsidRDefault="006B4514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6B4514" w:rsidRDefault="006B4514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6B4514" w:rsidRDefault="006B4514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6B4514" w:rsidRDefault="006B4514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:rsidR="009C1578" w:rsidRPr="00FD0956" w:rsidRDefault="009C1578" w:rsidP="006B4514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bookmarkStart w:id="0" w:name="_GoBack"/>
      <w:bookmarkEnd w:id="0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آدم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آدم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"رجال"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ۇﯾْﻘ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ﯘ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جي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اويقوجي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نوّامون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آطه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آطه</w:t>
      </w:r>
      <w:proofErr w:type="spellEnd"/>
      <w:r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color w:val="A6A6A6" w:themeColor="background1" w:themeShade="A6"/>
          <w:spacing w:val="-1"/>
          <w:kern w:val="16"/>
          <w:sz w:val="36"/>
          <w:szCs w:val="36"/>
          <w:rtl/>
        </w:rPr>
        <w:t>ا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ر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"جزائر"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زاي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رلي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جزايرلي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"جزائريون"</w:t>
      </w:r>
    </w:p>
    <w:p w:rsidR="009C1578" w:rsidRPr="00FD0956" w:rsidRDefault="009C1578" w:rsidP="009C1578">
      <w:pPr>
        <w:bidi/>
        <w:spacing w:after="60"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9C1578" w:rsidRPr="00FD0956" w:rsidSect="006B4514">
          <w:type w:val="continuous"/>
          <w:pgSz w:w="11906" w:h="16838"/>
          <w:pgMar w:top="1134" w:right="1559" w:bottom="1985" w:left="992" w:header="720" w:footer="720" w:gutter="0"/>
          <w:cols w:num="2" w:space="287"/>
          <w:bidi/>
        </w:sect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- كاغ</w:t>
      </w:r>
      <w:r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د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كاغد</w:t>
      </w:r>
      <w:r w:rsidRPr="00D30BE4">
        <w:rPr>
          <w:rFonts w:ascii="UKIJ Nasq" w:hAnsi="UKIJ Nasq" w:cs="UKIJ Nasq"/>
          <w:color w:val="A6A6A6" w:themeColor="background1" w:themeShade="A6"/>
          <w:spacing w:val="-1"/>
          <w:kern w:val="16"/>
          <w:sz w:val="36"/>
          <w:szCs w:val="36"/>
          <w:rtl/>
        </w:rPr>
        <w:t>لر</w:t>
      </w:r>
      <w:proofErr w:type="spellEnd"/>
      <w:r w:rsidR="006B4514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"أوراق</w:t>
      </w:r>
      <w:r w:rsidR="006B4514">
        <w:rPr>
          <w:rFonts w:ascii="UKIJ Nasq" w:hAnsi="UKIJ Nasq" w:cs="UKIJ Nasq" w:hint="cs"/>
          <w:spacing w:val="-1"/>
          <w:kern w:val="16"/>
          <w:sz w:val="36"/>
          <w:szCs w:val="36"/>
          <w:rtl/>
        </w:rPr>
        <w:t>"</w:t>
      </w:r>
    </w:p>
    <w:p w:rsidR="000F6DA4" w:rsidRDefault="000F6DA4" w:rsidP="006B4514">
      <w:pPr>
        <w:bidi/>
        <w:jc w:val="both"/>
      </w:pPr>
    </w:p>
    <w:sectPr w:rsidR="000F6DA4" w:rsidSect="006B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51" w:rsidRDefault="00B12A51">
      <w:r>
        <w:separator/>
      </w:r>
    </w:p>
  </w:endnote>
  <w:endnote w:type="continuationSeparator" w:id="0">
    <w:p w:rsidR="00B12A51" w:rsidRDefault="00B1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464196"/>
      <w:docPartObj>
        <w:docPartGallery w:val="Page Numbers (Bottom of Page)"/>
        <w:docPartUnique/>
      </w:docPartObj>
    </w:sdtPr>
    <w:sdtEndPr/>
    <w:sdtContent>
      <w:p w:rsidR="000046AD" w:rsidRDefault="009C157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514">
          <w:rPr>
            <w:noProof/>
          </w:rPr>
          <w:t>3</w:t>
        </w:r>
        <w:r>
          <w:fldChar w:fldCharType="end"/>
        </w:r>
      </w:p>
    </w:sdtContent>
  </w:sdt>
  <w:p w:rsidR="000046AD" w:rsidRDefault="00B12A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51" w:rsidRDefault="00B12A51">
      <w:r>
        <w:separator/>
      </w:r>
    </w:p>
  </w:footnote>
  <w:footnote w:type="continuationSeparator" w:id="0">
    <w:p w:rsidR="00B12A51" w:rsidRDefault="00B1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14" w:rsidRPr="008B5197" w:rsidRDefault="006B4514" w:rsidP="006B4514">
    <w:pPr>
      <w:pStyle w:val="En-tte"/>
      <w:rPr>
        <w:rFonts w:ascii="Sakkal Majalla" w:hAnsi="Sakkal Majalla" w:cs="Sakkal Majalla"/>
        <w:sz w:val="28"/>
        <w:szCs w:val="28"/>
      </w:rPr>
    </w:pPr>
    <w:r>
      <w:rPr>
        <w:rFonts w:ascii="Sakkal Majalla" w:hAnsi="Sakkal Majalla" w:cs="Sakkal Majalla"/>
        <w:sz w:val="28"/>
        <w:szCs w:val="28"/>
        <w:rtl/>
      </w:rPr>
      <w:t>اللغة العثمانية (</w:t>
    </w:r>
    <w:r>
      <w:rPr>
        <w:rFonts w:ascii="Sakkal Majalla" w:hAnsi="Sakkal Majalla" w:cs="Sakkal Majalla" w:hint="cs"/>
        <w:sz w:val="28"/>
        <w:szCs w:val="28"/>
        <w:rtl/>
      </w:rPr>
      <w:t>3</w:t>
    </w:r>
    <w:r w:rsidRPr="008B5197">
      <w:rPr>
        <w:rFonts w:ascii="Sakkal Majalla" w:hAnsi="Sakkal Majalla" w:cs="Sakkal Majalla"/>
        <w:sz w:val="28"/>
        <w:szCs w:val="28"/>
        <w:rtl/>
      </w:rPr>
      <w:t xml:space="preserve">)       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   </w:t>
    </w:r>
    <w:r>
      <w:rPr>
        <w:rFonts w:ascii="Sakkal Majalla" w:hAnsi="Sakkal Majalla" w:cs="Sakkal Majalla" w:hint="cs"/>
        <w:sz w:val="28"/>
        <w:szCs w:val="28"/>
        <w:rtl/>
      </w:rPr>
      <w:t xml:space="preserve">        </w:t>
    </w:r>
    <w:r w:rsidRPr="008B5197">
      <w:rPr>
        <w:rFonts w:ascii="Sakkal Majalla" w:hAnsi="Sakkal Majalla" w:cs="Sakkal Majalla"/>
        <w:sz w:val="28"/>
        <w:szCs w:val="28"/>
        <w:rtl/>
      </w:rPr>
      <w:t xml:space="preserve">                    السنة الجامعية 2023-2024</w:t>
    </w:r>
  </w:p>
  <w:p w:rsidR="006B4514" w:rsidRDefault="006B451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47F9"/>
    <w:multiLevelType w:val="hybridMultilevel"/>
    <w:tmpl w:val="DE90C558"/>
    <w:lvl w:ilvl="0" w:tplc="B56CA298">
      <w:start w:val="1"/>
      <w:numFmt w:val="bullet"/>
      <w:lvlText w:val=""/>
      <w:lvlJc w:val="left"/>
      <w:pPr>
        <w:ind w:left="1003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78"/>
    <w:rsid w:val="000F6DA4"/>
    <w:rsid w:val="006B4514"/>
    <w:rsid w:val="009C1578"/>
    <w:rsid w:val="00B1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34D3"/>
  <w15:chartTrackingRefBased/>
  <w15:docId w15:val="{CCDA425D-1CE4-47DD-A100-C49D2941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578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C15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578"/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paragraph" w:styleId="En-tte">
    <w:name w:val="header"/>
    <w:basedOn w:val="Normal"/>
    <w:link w:val="En-tteCar"/>
    <w:uiPriority w:val="99"/>
    <w:unhideWhenUsed/>
    <w:rsid w:val="006B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4514"/>
    <w:rPr>
      <w:rFonts w:ascii="Times New Roman" w:eastAsia="SimSun" w:hAnsi="Times New Roman" w:cs="Tahoma"/>
      <w:kern w:val="1"/>
      <w:sz w:val="24"/>
      <w:szCs w:val="24"/>
      <w:lang w:eastAsia="ar-DZ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428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2023-04-01T03:45:00Z</dcterms:created>
  <dcterms:modified xsi:type="dcterms:W3CDTF">2023-11-21T07:48:00Z</dcterms:modified>
</cp:coreProperties>
</file>