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6D" w:rsidRDefault="00A1186D" w:rsidP="00A1186D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A1186D" w:rsidRDefault="00A1186D" w:rsidP="00A1186D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A1186D" w:rsidRPr="00DA6023" w:rsidRDefault="00A1186D" w:rsidP="00A1186D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r w:rsidRPr="00A1186D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المضارع</w:t>
      </w:r>
    </w:p>
    <w:p w:rsidR="00A1186D" w:rsidRPr="008B5197" w:rsidRDefault="00A1186D" w:rsidP="00A1186D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A1186D" w:rsidRDefault="00A1186D" w:rsidP="00A1186D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12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يعرف أبضًا بالزمن الواسع كونه يستخدم للتعبير عن فعل اعتيادي (غير محدّد زمنيًا)، أو حدث وقع في الماضي ويتّصل أثره بالحاضر، أو حدث في زمن المستقبل </w:t>
      </w:r>
      <w:proofErr w:type="gramStart"/>
      <w:r>
        <w:rPr>
          <w:rFonts w:ascii="UKIJ Nasq" w:hAnsi="UKIJ Nasq" w:cs="UKIJ Nasq" w:hint="cs"/>
          <w:sz w:val="36"/>
          <w:szCs w:val="36"/>
          <w:rtl/>
        </w:rPr>
        <w:t>القريب ؛</w:t>
      </w:r>
      <w:proofErr w:type="gramEnd"/>
      <w:r>
        <w:rPr>
          <w:rFonts w:ascii="UKIJ Nasq" w:hAnsi="UKIJ Nasq" w:cs="UKIJ Nasq" w:hint="cs"/>
          <w:sz w:val="36"/>
          <w:szCs w:val="36"/>
          <w:rtl/>
        </w:rPr>
        <w:t xml:space="preserve"> ويصاغ هذا الزمن بإضافة اللاحقة </w:t>
      </w:r>
      <w:r w:rsidRPr="00EC7B0C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 xml:space="preserve">ر </w:t>
      </w:r>
      <w:r>
        <w:rPr>
          <w:rFonts w:ascii="UKIJ Nasq" w:hAnsi="UKIJ Nasq" w:cs="UKIJ Nasq" w:hint="cs"/>
          <w:sz w:val="36"/>
          <w:szCs w:val="36"/>
          <w:rtl/>
        </w:rPr>
        <w:t>لأصل الفعل إذا كان آخره حرفًا صوتيًا، ويتبعها لاحقة التصريف.</w:t>
      </w:r>
      <w:r w:rsidRPr="00FA0874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-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</w:tblGrid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"أفهمُ"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تفهمون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آ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ﯕ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ﻼ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يفهمون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553BB6" w:rsidRDefault="00A1186D" w:rsidP="00A1186D">
      <w:pPr>
        <w:bidi/>
        <w:spacing w:after="12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آ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>ﯕ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ْﻼمق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"فهم"</w:t>
      </w: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Pr="001A71F1" w:rsidRDefault="00A1186D" w:rsidP="00A1186D">
      <w:pPr>
        <w:bidi/>
        <w:spacing w:before="120" w:after="60"/>
        <w:jc w:val="both"/>
        <w:rPr>
          <w:rFonts w:ascii="UKIJ Nasq" w:hAnsi="UKIJ Nasq" w:cs="UKIJ Nasq"/>
          <w:sz w:val="36"/>
          <w:szCs w:val="36"/>
          <w:rtl/>
        </w:rPr>
      </w:pPr>
      <w:r w:rsidRPr="001A71F1">
        <w:rPr>
          <w:rFonts w:ascii="UKIJ Nasq" w:hAnsi="UKIJ Nasq" w:cs="UKIJ Nasq" w:hint="cs"/>
          <w:sz w:val="36"/>
          <w:szCs w:val="36"/>
          <w:rtl/>
        </w:rPr>
        <w:t xml:space="preserve">إذا كان </w:t>
      </w:r>
      <w:r>
        <w:rPr>
          <w:rFonts w:ascii="UKIJ Nasq" w:hAnsi="UKIJ Nasq" w:cs="UKIJ Nasq" w:hint="cs"/>
          <w:sz w:val="36"/>
          <w:szCs w:val="36"/>
          <w:rtl/>
        </w:rPr>
        <w:t xml:space="preserve">أصل الفعل أحادي المقطع وآخره حرفٌ صامتٌ، تكون لاحقة المضارع </w:t>
      </w:r>
      <w:r w:rsidRPr="00A86CFD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ـَر</w:t>
      </w:r>
      <w:r w:rsidRPr="00CF406A">
        <w:rPr>
          <w:rFonts w:ascii="UKIJ Nasq" w:hAnsi="UKIJ Nasq" w:cs="UKIJ Nasq" w:hint="cs"/>
          <w:color w:val="FF0000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z w:val="36"/>
          <w:szCs w:val="36"/>
          <w:rtl/>
        </w:rPr>
        <w:t xml:space="preserve">إذا كانت حركته خفيفة و </w:t>
      </w:r>
      <w:r w:rsidRPr="00A86CFD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ار</w:t>
      </w:r>
      <w:r>
        <w:rPr>
          <w:rFonts w:ascii="UKIJ Nasq" w:hAnsi="UKIJ Nasq" w:cs="UKIJ Nasq" w:hint="cs"/>
          <w:sz w:val="36"/>
          <w:szCs w:val="36"/>
          <w:rtl/>
        </w:rPr>
        <w:t xml:space="preserve"> إذا كان </w:t>
      </w:r>
      <w:proofErr w:type="gramStart"/>
      <w:r>
        <w:rPr>
          <w:rFonts w:ascii="UKIJ Nasq" w:hAnsi="UKIJ Nasq" w:cs="UKIJ Nasq" w:hint="cs"/>
          <w:sz w:val="36"/>
          <w:szCs w:val="36"/>
          <w:rtl/>
        </w:rPr>
        <w:t>ثقيلة :</w:t>
      </w:r>
      <w:proofErr w:type="gramEnd"/>
    </w:p>
    <w:tbl>
      <w:tblPr>
        <w:tblStyle w:val="Grilledutableau"/>
        <w:tblpPr w:leftFromText="141" w:rightFromText="141" w:vertAnchor="text" w:horzAnchor="margin" w:tblpXSpec="center" w:tblpY="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</w:tblGrid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"أكتبُ (عادةً)"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تكتبُ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يكتبُ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نكتبُ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تكتبون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41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ار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984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يكتبون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725E6B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يازْمق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كتب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Pr="00141461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Pr="00A1186D" w:rsidRDefault="00A1186D" w:rsidP="00A1186D">
      <w:pPr>
        <w:bidi/>
        <w:spacing w:after="60"/>
        <w:jc w:val="both"/>
        <w:rPr>
          <w:rFonts w:ascii="UKIJ Nasq" w:hAnsi="UKIJ Nasq" w:cs="UKIJ Nasq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horzAnchor="margin" w:tblpXSpec="center" w:tblpY="-1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</w:tblGrid>
      <w:tr w:rsidR="00A1186D" w:rsidTr="00A1186D">
        <w:tc>
          <w:tcPr>
            <w:tcW w:w="1417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"يمسحُ (عادةً)"</w:t>
            </w:r>
          </w:p>
        </w:tc>
      </w:tr>
      <w:tr w:rsidR="00A1186D" w:rsidTr="00A1186D">
        <w:tc>
          <w:tcPr>
            <w:tcW w:w="1417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تمسحُ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A1186D">
        <w:tc>
          <w:tcPr>
            <w:tcW w:w="1417" w:type="dxa"/>
          </w:tcPr>
          <w:p w:rsidR="00A1186D" w:rsidRPr="002B27E0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يمسحُ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A1186D">
        <w:tc>
          <w:tcPr>
            <w:tcW w:w="1417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نمسحُ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A1186D">
        <w:tc>
          <w:tcPr>
            <w:tcW w:w="1417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تمسحون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A1186D">
        <w:tc>
          <w:tcPr>
            <w:tcW w:w="1417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ـَر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2268" w:type="dxa"/>
          </w:tcPr>
          <w:p w:rsidR="00A1186D" w:rsidRDefault="00A1186D" w:rsidP="00A1186D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يمسحون (عادةً)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Default="00A1186D" w:rsidP="00A1186D">
      <w:pPr>
        <w:bidi/>
        <w:spacing w:after="60"/>
        <w:ind w:firstLine="708"/>
        <w:jc w:val="both"/>
        <w:rPr>
          <w:rFonts w:ascii="UKIJ Nasq" w:hAnsi="UKIJ Nasq" w:cs="UKIJ Nasq"/>
          <w:color w:val="FF0000"/>
          <w:sz w:val="36"/>
          <w:szCs w:val="36"/>
          <w:rtl/>
        </w:rPr>
      </w:pP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سيلْمك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مسح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Pr="00CF406A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Pr="00C96E72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18"/>
          <w:szCs w:val="18"/>
          <w:rtl/>
        </w:rPr>
      </w:pPr>
    </w:p>
    <w:p w:rsidR="00A1186D" w:rsidRPr="00C96E72" w:rsidRDefault="00A1186D" w:rsidP="00A1186D">
      <w:pPr>
        <w:bidi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A86CFD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 w:rsidRPr="00C96E72"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 w:rsidRPr="00C96E72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هناك نيف وعشرة أفعال شاذة أحادية المقطع، لكن تصرّف في الزمن المضارع على الوجه الآتي :</w:t>
      </w:r>
    </w:p>
    <w:tbl>
      <w:tblPr>
        <w:tblStyle w:val="Grilledutableau"/>
        <w:bidiVisual/>
        <w:tblW w:w="0" w:type="auto"/>
        <w:tblInd w:w="1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1417"/>
        <w:gridCol w:w="1928"/>
        <w:gridCol w:w="1417"/>
      </w:tblGrid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704EF7">
              <w:rPr>
                <w:rFonts w:ascii="UKIJ Nasq" w:hAnsi="UKIJ Nasq" w:cs="UKIJ Nasq" w:hint="cs"/>
                <w:sz w:val="36"/>
                <w:szCs w:val="36"/>
                <w:rtl/>
              </w:rPr>
              <w:t>آلمق</w:t>
            </w:r>
            <w:proofErr w:type="spellEnd"/>
            <w:r w:rsidRPr="00704EF7"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"أخذ"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آلير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اۇرمق</w:t>
            </w:r>
            <w:proofErr w:type="spellEnd"/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اورور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بيلمك "عرف"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بيلير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ﺑﯘلمق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"وجد"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بولور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صانمق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"ظنّ"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صانير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ﮔﻮ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رمك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"شاهد"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ﮔﻮ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رور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قالمق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"مكث"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قالير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اولمق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"أصبح"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اولور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ﮔﻠﻤﻚ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"أتى"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ﮔﻠﻴﺮ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لمك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"مات"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اولور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ويرمك "أعطى"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ويرير</w:t>
            </w:r>
            <w:proofErr w:type="spellEnd"/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ﯛ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رمق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"ضرب"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ورور</w:t>
            </w:r>
            <w:proofErr w:type="spellEnd"/>
          </w:p>
        </w:tc>
      </w:tr>
      <w:tr w:rsidR="00A1186D" w:rsidTr="003C2F10">
        <w:trPr>
          <w:trHeight w:val="482"/>
        </w:trPr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وارمق "وصل"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وارير</w:t>
            </w:r>
          </w:p>
        </w:tc>
        <w:tc>
          <w:tcPr>
            <w:tcW w:w="1928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رمق</w:t>
            </w:r>
            <w:proofErr w:type="spellEnd"/>
            <w:r>
              <w:rPr>
                <w:rFonts w:ascii="UKIJ Nasq" w:hAnsi="UKIJ Nasq" w:cs="UKIJ Nasq" w:hint="cs"/>
                <w:sz w:val="36"/>
                <w:szCs w:val="36"/>
                <w:rtl/>
              </w:rPr>
              <w:t xml:space="preserve"> "وقف"</w:t>
            </w:r>
          </w:p>
        </w:tc>
        <w:tc>
          <w:tcPr>
            <w:tcW w:w="1417" w:type="dxa"/>
          </w:tcPr>
          <w:p w:rsidR="00A1186D" w:rsidRPr="00704EF7" w:rsidRDefault="00A1186D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دورور</w:t>
            </w:r>
            <w:proofErr w:type="spellEnd"/>
          </w:p>
        </w:tc>
      </w:tr>
    </w:tbl>
    <w:p w:rsidR="00A1186D" w:rsidRPr="00C30D15" w:rsidRDefault="00A1186D" w:rsidP="00A1186D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A1186D" w:rsidRPr="00225AD9" w:rsidRDefault="00A1186D" w:rsidP="00A1186D">
      <w:pPr>
        <w:bidi/>
        <w:spacing w:after="60"/>
        <w:jc w:val="both"/>
        <w:rPr>
          <w:rFonts w:ascii="UKIJ Nasq" w:hAnsi="UKIJ Nasq" w:cs="UKIJ Nasq"/>
          <w:spacing w:val="2"/>
          <w:kern w:val="36"/>
          <w:sz w:val="36"/>
          <w:szCs w:val="36"/>
          <w:u w:val="single"/>
          <w:rtl/>
        </w:rPr>
      </w:pPr>
      <w:r w:rsidRPr="001A71F1">
        <w:rPr>
          <w:rFonts w:ascii="UKIJ Nasq" w:hAnsi="UKIJ Nasq" w:cs="UKIJ Nasq" w:hint="cs"/>
          <w:sz w:val="36"/>
          <w:szCs w:val="36"/>
          <w:rtl/>
        </w:rPr>
        <w:t xml:space="preserve">إذا كان </w:t>
      </w:r>
      <w:r>
        <w:rPr>
          <w:rFonts w:ascii="UKIJ Nasq" w:hAnsi="UKIJ Nasq" w:cs="UKIJ Nasq" w:hint="cs"/>
          <w:sz w:val="36"/>
          <w:szCs w:val="36"/>
          <w:rtl/>
        </w:rPr>
        <w:t xml:space="preserve">أصل الفعل ثنائي المقطع (أو أكثر) وآخره حرفٌ صامتٌ، </w:t>
      </w:r>
      <w:r w:rsidRPr="00F410CB">
        <w:rPr>
          <w:rFonts w:ascii="UKIJ Nasq" w:hAnsi="UKIJ Nasq" w:cs="UKIJ Nasq" w:hint="cs"/>
          <w:sz w:val="36"/>
          <w:szCs w:val="36"/>
          <w:rtl/>
        </w:rPr>
        <w:t xml:space="preserve">تكون لاحقة المضارع </w:t>
      </w:r>
      <w:proofErr w:type="spellStart"/>
      <w:r w:rsidRPr="00A86CFD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ﻳ</w:t>
      </w:r>
      <w:r w:rsidRPr="00A86CFD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ﺮ</w:t>
      </w:r>
      <w:proofErr w:type="spellEnd"/>
      <w:r w:rsidRPr="00F410CB">
        <w:rPr>
          <w:rFonts w:ascii="UKIJ Nasq" w:hAnsi="UKIJ Nasq" w:cs="UKIJ Nasq" w:hint="cs"/>
          <w:color w:val="FF0000"/>
          <w:sz w:val="36"/>
          <w:szCs w:val="36"/>
          <w:rtl/>
        </w:rPr>
        <w:t xml:space="preserve"> </w:t>
      </w:r>
      <w:r w:rsidRPr="00F410CB">
        <w:rPr>
          <w:rFonts w:ascii="UKIJ Nasq" w:hAnsi="UKIJ Nasq" w:cs="UKIJ Nasq" w:hint="cs"/>
          <w:sz w:val="36"/>
          <w:szCs w:val="36"/>
          <w:rtl/>
        </w:rPr>
        <w:t xml:space="preserve">إذا </w:t>
      </w:r>
      <w:r w:rsidRPr="00225AD9">
        <w:rPr>
          <w:rFonts w:ascii="UKIJ Nasq" w:hAnsi="UKIJ Nasq" w:cs="UKIJ Nasq" w:hint="cs"/>
          <w:spacing w:val="2"/>
          <w:kern w:val="36"/>
          <w:sz w:val="36"/>
          <w:szCs w:val="36"/>
          <w:rtl/>
        </w:rPr>
        <w:t xml:space="preserve">كان آخر أصل الفعل حركته كسرة او فتحة، أو </w:t>
      </w:r>
      <w:r w:rsidRPr="00225AD9">
        <w:rPr>
          <w:rFonts w:ascii="UKIJ Nasq" w:hAnsi="UKIJ Nasq" w:cs="UKIJ Nasq" w:hint="cs"/>
          <w:color w:val="A6A6A6" w:themeColor="background1" w:themeShade="A6"/>
          <w:spacing w:val="2"/>
          <w:kern w:val="36"/>
          <w:sz w:val="36"/>
          <w:szCs w:val="36"/>
          <w:rtl/>
        </w:rPr>
        <w:t>ور</w:t>
      </w:r>
      <w:r w:rsidRPr="00225AD9">
        <w:rPr>
          <w:rFonts w:ascii="UKIJ Nasq" w:hAnsi="UKIJ Nasq" w:cs="UKIJ Nasq" w:hint="cs"/>
          <w:spacing w:val="2"/>
          <w:kern w:val="36"/>
          <w:sz w:val="36"/>
          <w:szCs w:val="36"/>
          <w:rtl/>
        </w:rPr>
        <w:t xml:space="preserve"> إذا كان آخر أصل الفعل حركته </w:t>
      </w:r>
      <w:proofErr w:type="gramStart"/>
      <w:r w:rsidRPr="00225AD9">
        <w:rPr>
          <w:rFonts w:ascii="UKIJ Nasq" w:hAnsi="UKIJ Nasq" w:cs="UKIJ Nasq" w:hint="cs"/>
          <w:spacing w:val="2"/>
          <w:kern w:val="36"/>
          <w:sz w:val="36"/>
          <w:szCs w:val="36"/>
          <w:rtl/>
        </w:rPr>
        <w:t>ضمّة :</w:t>
      </w:r>
      <w:proofErr w:type="gramEnd"/>
    </w:p>
    <w:p w:rsidR="00A1186D" w:rsidRPr="00C0667C" w:rsidRDefault="00A1186D" w:rsidP="00A1186D">
      <w:pPr>
        <w:bidi/>
        <w:spacing w:after="120"/>
        <w:jc w:val="both"/>
        <w:rPr>
          <w:rFonts w:ascii="UKIJ Nasq" w:hAnsi="UKIJ Nasq" w:cs="UKIJ Nasq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XSpec="center" w:tblpY="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83"/>
      </w:tblGrid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"أقتربُ"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تقتربُ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يقتربُ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نقتربُ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تقتربون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ياقلش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يقتربون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725E6B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ياقْلَشْمق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اقترب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Pr="001E36D9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pacing w:val="2"/>
          <w:kern w:val="16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:rsid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:rsidR="00A1186D" w:rsidRPr="00A1186D" w:rsidRDefault="00A1186D" w:rsidP="00A1186D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2"/>
          <w:szCs w:val="32"/>
          <w:rtl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23"/>
      </w:tblGrid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"أجلسُ"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تجلسُ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يجلسُ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نجلسُ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تجلسون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26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اوﻃ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ۇ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82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يجلسون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725E6B" w:rsidRDefault="00A1186D" w:rsidP="00A1186D">
      <w:pPr>
        <w:bidi/>
        <w:spacing w:before="30" w:after="30"/>
        <w:ind w:left="709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اوﻃ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>ﯘ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رمق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جلس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Default="00A1186D" w:rsidP="00A1186D">
      <w:pPr>
        <w:bidi/>
        <w:spacing w:before="180"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before="180"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Pr="00C96E72" w:rsidRDefault="00A1186D" w:rsidP="00A1186D">
      <w:pPr>
        <w:bidi/>
        <w:spacing w:before="180" w:after="60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Pr="00C0667C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18"/>
          <w:szCs w:val="18"/>
          <w:rtl/>
        </w:rPr>
      </w:pPr>
    </w:p>
    <w:p w:rsidR="00A1186D" w:rsidRPr="002B5511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u w:val="single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ينفى المضارع في صيغ المخاطب والغائب بإدراج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مز </w:t>
      </w: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 xml:space="preserve">إذا كانت حركة أصل الفعل خفيفة، و 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>ماز</w:t>
      </w:r>
      <w:r>
        <w:rPr>
          <w:rFonts w:ascii="UKIJ Nasq" w:hAnsi="UKIJ Nasq" w:cs="UKIJ Nasq" w:hint="cs"/>
          <w:sz w:val="36"/>
          <w:szCs w:val="36"/>
          <w:rtl/>
        </w:rPr>
        <w:t xml:space="preserve"> إذا كانت حركة أصل الفعل ثقيلة، بدل لاحقة </w:t>
      </w:r>
      <w:proofErr w:type="gramStart"/>
      <w:r>
        <w:rPr>
          <w:rFonts w:ascii="UKIJ Nasq" w:hAnsi="UKIJ Nasq" w:cs="UKIJ Nasq" w:hint="cs"/>
          <w:sz w:val="36"/>
          <w:szCs w:val="36"/>
          <w:rtl/>
        </w:rPr>
        <w:t>الزمن ؛</w:t>
      </w:r>
      <w:proofErr w:type="gramEnd"/>
      <w:r>
        <w:rPr>
          <w:rFonts w:ascii="UKIJ Nasq" w:hAnsi="UKIJ Nasq" w:cs="UKIJ Nasq" w:hint="cs"/>
          <w:sz w:val="36"/>
          <w:szCs w:val="36"/>
          <w:rtl/>
        </w:rPr>
        <w:t xml:space="preserve"> أمّا بالنسبة لصيغة المتكلّم، فيحذف الزاي في المفرد، ويقلب ياءً في الجمع.</w:t>
      </w:r>
    </w:p>
    <w:tbl>
      <w:tblPr>
        <w:tblStyle w:val="Grilledutableau"/>
        <w:tblpPr w:leftFromText="141" w:rightFromText="141" w:vertAnchor="text" w:horzAnchor="margin" w:tblpXSpec="center" w:tblpY="-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57"/>
      </w:tblGrid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"لا أكتبُ"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ماز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نكتبُ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تكتبون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يكتبون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725E6B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يازمق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كتب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Pr="001E36D9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pacing w:val="2"/>
          <w:kern w:val="1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Pr="00791B04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57"/>
      </w:tblGrid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"لا أموتُ"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تموتُ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يموتُ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نموتُ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تموتون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1701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ۆ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757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يموتون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Pr="00C0667C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rtl/>
        </w:rPr>
      </w:pPr>
    </w:p>
    <w:p w:rsidR="00A1186D" w:rsidRPr="00725E6B" w:rsidRDefault="00A1186D" w:rsidP="00A1186D">
      <w:pPr>
        <w:bidi/>
        <w:spacing w:before="6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>ۆ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لْمك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مات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A1186D" w:rsidRPr="00725E6B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A1186D" w:rsidRDefault="00A1186D" w:rsidP="00A1186D">
      <w:pPr>
        <w:bidi/>
        <w:spacing w:after="12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1186D">
        <w:rPr>
          <w:rFonts w:ascii="UKIJ Nasq" w:hAnsi="UKIJ Nasq" w:cs="UKIJ Nasq" w:hint="cs"/>
          <w:color w:val="A6A6A6" w:themeColor="background1" w:themeShade="A6"/>
          <w:spacing w:val="3"/>
          <w:kern w:val="36"/>
          <w:sz w:val="36"/>
          <w:szCs w:val="36"/>
          <w:rtl/>
        </w:rPr>
        <w:t>ملاحظة :</w:t>
      </w:r>
      <w:proofErr w:type="gramEnd"/>
      <w:r w:rsidRPr="00A1186D">
        <w:rPr>
          <w:rFonts w:ascii="UKIJ Nasq" w:hAnsi="UKIJ Nasq" w:cs="UKIJ Nasq" w:hint="cs"/>
          <w:color w:val="FF0000"/>
          <w:spacing w:val="3"/>
          <w:kern w:val="36"/>
          <w:sz w:val="36"/>
          <w:szCs w:val="36"/>
          <w:rtl/>
        </w:rPr>
        <w:t xml:space="preserve"> </w:t>
      </w:r>
      <w:r w:rsidRPr="00A1186D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كثيرًا ما تستخدم العبارات وظروف الزمن التالية في المضارع : صيق </w:t>
      </w:r>
      <w:proofErr w:type="spellStart"/>
      <w:r w:rsidRPr="00A1186D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صيق</w:t>
      </w:r>
      <w:proofErr w:type="spellEnd"/>
      <w:r w:rsidRPr="00A1186D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"غالبًا" ؛</w:t>
      </w:r>
      <w:r>
        <w:rPr>
          <w:rFonts w:ascii="UKIJ Nasq" w:hAnsi="UKIJ Nasq" w:cs="UKIJ Nasq" w:hint="cs"/>
          <w:sz w:val="36"/>
          <w:szCs w:val="36"/>
          <w:rtl/>
        </w:rPr>
        <w:t xml:space="preserve"> دائمًا "نفس المعنى" ؛ </w:t>
      </w:r>
      <w:proofErr w:type="spellStart"/>
      <w:r>
        <w:rPr>
          <w:rFonts w:ascii="UKIJ Nasq" w:hAnsi="UKIJ Nasq" w:cs="UKIJ Nasq" w:hint="cs"/>
          <w:sz w:val="36"/>
          <w:szCs w:val="36"/>
          <w:rtl/>
        </w:rPr>
        <w:t>ﻫَﭗ</w:t>
      </w:r>
      <w:proofErr w:type="spellEnd"/>
      <w:r>
        <w:rPr>
          <w:rFonts w:ascii="UKIJ Nasq" w:hAnsi="UKIJ Nasq" w:cs="UKIJ Nasq" w:hint="cs"/>
          <w:sz w:val="36"/>
          <w:szCs w:val="36"/>
          <w:rtl/>
        </w:rPr>
        <w:t xml:space="preserve"> "دائمًا" ؛ هَر "كلّ".</w:t>
      </w:r>
    </w:p>
    <w:p w:rsidR="00A1186D" w:rsidRPr="00225AD9" w:rsidRDefault="00A1186D" w:rsidP="00A1186D">
      <w:pPr>
        <w:bidi/>
        <w:spacing w:after="120"/>
        <w:jc w:val="both"/>
        <w:rPr>
          <w:rFonts w:ascii="UKIJ Nasq" w:hAnsi="UKIJ Nasq" w:cs="UKIJ Nasq"/>
          <w:spacing w:val="-4"/>
          <w:kern w:val="36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يجعل المضارع في صيغة الاستفهام بتصريفه على الشخص الثالث، وتكتب بعده منفصلة أداة </w:t>
      </w:r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الاستفهام </w:t>
      </w:r>
      <w:r w:rsidRPr="00225AD9">
        <w:rPr>
          <w:rFonts w:ascii="UKIJ Nasq" w:hAnsi="UKIJ Nasq" w:cs="UKIJ Nasq" w:hint="cs"/>
          <w:color w:val="A6A6A6" w:themeColor="background1" w:themeShade="A6"/>
          <w:spacing w:val="-4"/>
          <w:kern w:val="36"/>
          <w:sz w:val="36"/>
          <w:szCs w:val="36"/>
          <w:rtl/>
        </w:rPr>
        <w:t>مي</w:t>
      </w:r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 متبوعة بلاحقة التصريف (ما عدا في صيغة الجمع للغائب، فإنّ الضمير </w:t>
      </w:r>
      <w:proofErr w:type="spellStart"/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>لر</w:t>
      </w:r>
      <w:proofErr w:type="spellEnd"/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 يسبقها).</w:t>
      </w:r>
    </w:p>
    <w:p w:rsidR="00A1186D" w:rsidRDefault="00A1186D" w:rsidP="00A1186D">
      <w:pPr>
        <w:bidi/>
        <w:spacing w:after="12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p w:rsidR="00A1186D" w:rsidRDefault="00A1186D" w:rsidP="00A1186D">
      <w:pPr>
        <w:bidi/>
        <w:spacing w:after="12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أداة الاستفهام تخضع للمطابقة الصوتية ؛ وعليه، فإنّها تتبع في النطق ما يسبقها، بحيث تكون إمّا كسرة خفيفة أو ثقيلة، وإمّا ضمّة خفيفة أو ثقيلة.</w:t>
      </w:r>
      <w:r w:rsidRPr="00CE3772">
        <w:rPr>
          <w:rFonts w:ascii="UKIJ Nasq" w:hAnsi="UKIJ Nasq" w:cs="UKIJ Nasq"/>
          <w:sz w:val="36"/>
          <w:szCs w:val="36"/>
          <w:rtl/>
        </w:rPr>
        <w:t xml:space="preserve"> </w:t>
      </w:r>
    </w:p>
    <w:tbl>
      <w:tblPr>
        <w:tblStyle w:val="Grilledutableau"/>
        <w:tblpPr w:leftFromText="141" w:rightFromText="141" w:vertAnchor="text" w:horzAnchor="page" w:tblpX="1321" w:tblpY="77"/>
        <w:bidiVisual/>
        <w:tblW w:w="6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4195"/>
      </w:tblGrid>
      <w:tr w:rsidR="00A1186D" w:rsidTr="003C2F10">
        <w:tc>
          <w:tcPr>
            <w:tcW w:w="209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بن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مِيِم؟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أنا أكتبُ؟"</w:t>
            </w:r>
          </w:p>
        </w:tc>
      </w:tr>
      <w:tr w:rsidR="00A1186D" w:rsidTr="003C2F10">
        <w:tc>
          <w:tcPr>
            <w:tcW w:w="209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سن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CE3772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ﻣﻴﺴ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E3772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أنتَ تكتبُ؟ ؛ هل أنتِ تكتبين؟"</w:t>
            </w:r>
          </w:p>
        </w:tc>
      </w:tr>
      <w:tr w:rsidR="00A1186D" w:rsidTr="003C2F10">
        <w:tc>
          <w:tcPr>
            <w:tcW w:w="2098" w:type="dxa"/>
          </w:tcPr>
          <w:p w:rsidR="00A1186D" w:rsidRPr="002B27E0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او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r w:rsidRPr="00CE3772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مي؟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هو يكتبُ؟ ؛ هل هي تكتبُ؟"</w:t>
            </w:r>
          </w:p>
        </w:tc>
      </w:tr>
      <w:tr w:rsidR="00A1186D" w:rsidTr="003C2F10">
        <w:tc>
          <w:tcPr>
            <w:tcW w:w="209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بز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مِيِز؟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نحن نكتبُ؟"</w:t>
            </w:r>
          </w:p>
        </w:tc>
      </w:tr>
      <w:tr w:rsidR="00A1186D" w:rsidTr="003C2F10">
        <w:tc>
          <w:tcPr>
            <w:tcW w:w="209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سز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CE3772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ﻣﻴﺴ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E3772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E3772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أنتم تكتبون؟ ؛ هل أنتن تكتبن؟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A1186D" w:rsidTr="003C2F10">
        <w:tc>
          <w:tcPr>
            <w:tcW w:w="2098" w:type="dxa"/>
          </w:tcPr>
          <w:p w:rsidR="00A1186D" w:rsidRDefault="00A1186D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اونلر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يازار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لَرمي؟</w:t>
            </w:r>
          </w:p>
        </w:tc>
        <w:tc>
          <w:tcPr>
            <w:tcW w:w="4195" w:type="dxa"/>
          </w:tcPr>
          <w:p w:rsidR="00A1186D" w:rsidRDefault="00A1186D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هم يكتبون؟ ؛ هل هن يكتبن؟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r w:rsidRPr="009A4203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gramStart"/>
      <w:r w:rsidRPr="00A86CFD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A86CFD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A86CFD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ﮔﻠﻤﻚ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"أتى"</w:t>
      </w:r>
    </w:p>
    <w:p w:rsidR="00A1186D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A1186D" w:rsidRPr="00C0667C" w:rsidRDefault="00A1186D" w:rsidP="00A1186D">
      <w:pPr>
        <w:bidi/>
        <w:spacing w:after="60"/>
        <w:jc w:val="both"/>
        <w:rPr>
          <w:rFonts w:ascii="UKIJ Nasq" w:hAnsi="UKIJ Nasq" w:cs="UKIJ Nasq"/>
          <w:sz w:val="36"/>
          <w:szCs w:val="36"/>
        </w:rPr>
      </w:pPr>
    </w:p>
    <w:p w:rsidR="00A1186D" w:rsidRPr="00CE3772" w:rsidRDefault="00A1186D" w:rsidP="00A1186D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Pr="00CE3772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Pr="00CE3772" w:rsidRDefault="00A1186D" w:rsidP="00A1186D">
      <w:pPr>
        <w:bidi/>
        <w:spacing w:after="60"/>
        <w:ind w:left="-1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A1186D" w:rsidRPr="008E61D1" w:rsidRDefault="00A1186D" w:rsidP="00A1186D">
      <w:pPr>
        <w:bidi/>
        <w:jc w:val="both"/>
        <w:rPr>
          <w:rFonts w:ascii="UKIJ Nasq" w:hAnsi="UKIJ Nasq" w:cs="UKIJ Nasq"/>
          <w:color w:val="FF0000"/>
          <w:rtl/>
        </w:rPr>
      </w:pPr>
    </w:p>
    <w:p w:rsidR="00614682" w:rsidRDefault="00614682" w:rsidP="00A1186D">
      <w:pPr>
        <w:bidi/>
      </w:pPr>
    </w:p>
    <w:sectPr w:rsidR="0061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8A" w:rsidRDefault="00F8678A" w:rsidP="00A1186D">
      <w:r>
        <w:separator/>
      </w:r>
    </w:p>
  </w:endnote>
  <w:endnote w:type="continuationSeparator" w:id="0">
    <w:p w:rsidR="00F8678A" w:rsidRDefault="00F8678A" w:rsidP="00A1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8A" w:rsidRDefault="00F8678A" w:rsidP="00A1186D">
      <w:r>
        <w:separator/>
      </w:r>
    </w:p>
  </w:footnote>
  <w:footnote w:type="continuationSeparator" w:id="0">
    <w:p w:rsidR="00F8678A" w:rsidRDefault="00F8678A" w:rsidP="00A1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6D" w:rsidRDefault="00A1186D" w:rsidP="00A1186D">
    <w:pPr>
      <w:pStyle w:val="En-tte"/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3)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  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A1186D" w:rsidRDefault="00A118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14C"/>
    <w:multiLevelType w:val="hybridMultilevel"/>
    <w:tmpl w:val="485EBE5C"/>
    <w:lvl w:ilvl="0" w:tplc="58E0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6D"/>
    <w:rsid w:val="000D146E"/>
    <w:rsid w:val="00123889"/>
    <w:rsid w:val="00363306"/>
    <w:rsid w:val="00614682"/>
    <w:rsid w:val="00A1186D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696F"/>
  <w15:chartTrackingRefBased/>
  <w15:docId w15:val="{3C9789FA-DB9F-4952-AD64-1C062E0D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6D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1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18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18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186D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A118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186D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2023-11-21T06:03:00Z</dcterms:created>
  <dcterms:modified xsi:type="dcterms:W3CDTF">2023-11-21T06:06:00Z</dcterms:modified>
</cp:coreProperties>
</file>