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1" w:rsidRDefault="00927371" w:rsidP="0092737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927371" w:rsidRDefault="00927371" w:rsidP="0092737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</w:p>
    <w:p w:rsidR="00927371" w:rsidRPr="00DA6023" w:rsidRDefault="00927371" w:rsidP="0092737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r w:rsidRPr="00927371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  <w:t>الحال</w:t>
      </w:r>
    </w:p>
    <w:p w:rsidR="00927371" w:rsidRPr="008B5197" w:rsidRDefault="00927371" w:rsidP="0092737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927371" w:rsidRDefault="00927371" w:rsidP="00927371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240"/>
        <w:jc w:val="both"/>
        <w:rPr>
          <w:rFonts w:ascii="UKIJ Nasq" w:hAnsi="UKIJ Nasq" w:cs="UKIJ Nasq"/>
          <w:sz w:val="36"/>
          <w:szCs w:val="36"/>
          <w:rtl/>
        </w:rPr>
      </w:pPr>
      <w:r w:rsidRPr="00225AD9">
        <w:rPr>
          <w:rFonts w:ascii="UKIJ Nasq" w:hAnsi="UKIJ Nasq" w:cs="UKIJ Nasq" w:hint="cs"/>
          <w:spacing w:val="4"/>
          <w:kern w:val="36"/>
          <w:sz w:val="36"/>
          <w:szCs w:val="36"/>
          <w:rtl/>
        </w:rPr>
        <w:t xml:space="preserve">يستخدم هذا الزمن للتعبير عن حدوث فعل في حال التكلّم مع استمراريته إلى المستقبل </w:t>
      </w:r>
      <w:proofErr w:type="gramStart"/>
      <w:r w:rsidRPr="00225AD9">
        <w:rPr>
          <w:rFonts w:ascii="UKIJ Nasq" w:hAnsi="UKIJ Nasq" w:cs="UKIJ Nasq" w:hint="cs"/>
          <w:kern w:val="36"/>
          <w:sz w:val="36"/>
          <w:szCs w:val="36"/>
          <w:rtl/>
        </w:rPr>
        <w:t>القريب ؛</w:t>
      </w:r>
      <w:proofErr w:type="gramEnd"/>
      <w:r>
        <w:rPr>
          <w:rFonts w:ascii="UKIJ Nasq" w:hAnsi="UKIJ Nasq" w:cs="UKIJ Nasq" w:hint="cs"/>
          <w:sz w:val="36"/>
          <w:szCs w:val="36"/>
          <w:rtl/>
        </w:rPr>
        <w:t xml:space="preserve"> ويتمّ تصريف الفعل في الحال بإدراج لاحقة الزمن </w:t>
      </w:r>
      <w:r w:rsidRPr="00B81751">
        <w:rPr>
          <w:rFonts w:ascii="UKIJ Nasq" w:hAnsi="UKIJ Nasq" w:cs="UKIJ Nasq" w:hint="cs"/>
          <w:color w:val="A6A6A6" w:themeColor="background1" w:themeShade="A6"/>
          <w:sz w:val="36"/>
          <w:szCs w:val="36"/>
          <w:rtl/>
        </w:rPr>
        <w:t>يور</w:t>
      </w:r>
      <w:r>
        <w:rPr>
          <w:rFonts w:ascii="UKIJ Nasq" w:hAnsi="UKIJ Nasq" w:cs="UKIJ Nasq" w:hint="cs"/>
          <w:sz w:val="36"/>
          <w:szCs w:val="36"/>
          <w:rtl/>
        </w:rPr>
        <w:t xml:space="preserve"> قبل لاحقة التصريف.</w:t>
      </w:r>
    </w:p>
    <w:tbl>
      <w:tblPr>
        <w:tblStyle w:val="Grilledutableau"/>
        <w:tblpPr w:leftFromText="141" w:rightFromText="141" w:vertAnchor="text" w:horzAnchor="page" w:tblpX="3685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82"/>
      </w:tblGrid>
      <w:tr w:rsidR="00927371" w:rsidTr="00927371">
        <w:tc>
          <w:tcPr>
            <w:tcW w:w="1417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"أكتبُ"</w:t>
            </w:r>
          </w:p>
        </w:tc>
      </w:tr>
      <w:tr w:rsidR="00927371" w:rsidTr="00927371">
        <w:tc>
          <w:tcPr>
            <w:tcW w:w="1417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417" w:type="dxa"/>
          </w:tcPr>
          <w:p w:rsidR="00927371" w:rsidRPr="002B27E0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417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نكتبُ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417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تكتبون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417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ياز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يكتبون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Pr="001E36D9" w:rsidRDefault="00927371" w:rsidP="00927371">
      <w:pPr>
        <w:bidi/>
        <w:spacing w:after="60"/>
        <w:ind w:left="-1"/>
        <w:jc w:val="both"/>
        <w:rPr>
          <w:rFonts w:ascii="UKIJ Nasq" w:hAnsi="UKIJ Nasq" w:cs="UKIJ Nasq"/>
          <w:spacing w:val="2"/>
          <w:kern w:val="16"/>
          <w:rtl/>
        </w:rPr>
      </w:pP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proofErr w:type="gramStart"/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يازْمق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كتب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Pr="003B606B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tbl>
      <w:tblPr>
        <w:tblStyle w:val="Grilledutableau"/>
        <w:tblpPr w:leftFromText="141" w:rightFromText="141" w:vertAnchor="text" w:horzAnchor="page" w:tblpX="3616" w:tblpY="42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2"/>
      </w:tblGrid>
      <w:tr w:rsidR="00927371" w:rsidTr="00927371">
        <w:tc>
          <w:tcPr>
            <w:tcW w:w="1701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"أقولُ"</w:t>
            </w:r>
          </w:p>
        </w:tc>
      </w:tr>
      <w:tr w:rsidR="00927371" w:rsidTr="00927371">
        <w:tc>
          <w:tcPr>
            <w:tcW w:w="1701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تقولُ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701" w:type="dxa"/>
          </w:tcPr>
          <w:p w:rsidR="00927371" w:rsidRPr="002B27E0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يقولُ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701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نقولُ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701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تقولون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927371">
        <w:tc>
          <w:tcPr>
            <w:tcW w:w="1701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ﺳﯚيل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لَر</w:t>
            </w:r>
            <w:proofErr w:type="spellEnd"/>
          </w:p>
        </w:tc>
        <w:tc>
          <w:tcPr>
            <w:tcW w:w="1182" w:type="dxa"/>
          </w:tcPr>
          <w:p w:rsidR="00927371" w:rsidRDefault="00927371" w:rsidP="00927371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يقولون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Pr="00725E6B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z w:val="36"/>
          <w:szCs w:val="36"/>
          <w:rtl/>
        </w:rPr>
      </w:pP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ﺳﯚيْلَمك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قال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color w:val="FF0000"/>
          <w:spacing w:val="2"/>
          <w:kern w:val="16"/>
          <w:sz w:val="36"/>
          <w:szCs w:val="36"/>
          <w:rtl/>
        </w:rPr>
      </w:pPr>
    </w:p>
    <w:p w:rsidR="00927371" w:rsidRPr="00686AAD" w:rsidRDefault="00927371" w:rsidP="00927371">
      <w:pPr>
        <w:bidi/>
        <w:jc w:val="both"/>
        <w:rPr>
          <w:rFonts w:ascii="UKIJ Nasq" w:hAnsi="UKIJ Nasq" w:cs="UKIJ Nasq"/>
          <w:color w:val="FF0000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إذا انتهى أصل الفعل بالحرف الصوتي ا أو ﻩ، فإنّ هذا الأخير ينقلب إلى </w:t>
      </w:r>
      <w:r w:rsidRPr="00424B3E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ي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قبل لاحقة الزمن يور.</w:t>
      </w: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page" w:tblpX="3661" w:tblpY="-7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36"/>
      </w:tblGrid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ﻴﻮرم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"أفهمُ"</w:t>
            </w:r>
          </w:p>
        </w:tc>
      </w:tr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r w:rsidRPr="0018602F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ﺳ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18602F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ﻴﻮرز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نفهمُ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r w:rsidRPr="0018602F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ﺳ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18602F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ﯖ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18602F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تفهمون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18602F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آﯕﻠ</w:t>
            </w:r>
            <w:r w:rsidRPr="0018602F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ﻴ</w:t>
            </w:r>
            <w:r w:rsidRPr="0018602F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ﻴﻮرلَر</w:t>
            </w:r>
            <w:proofErr w:type="spellEnd"/>
          </w:p>
        </w:tc>
        <w:tc>
          <w:tcPr>
            <w:tcW w:w="1236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يفهمون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مثال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آﯕﻼمق</w:t>
      </w:r>
      <w:proofErr w:type="spellEnd"/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فهم، أدرك</w:t>
      </w:r>
      <w:r w:rsidRPr="00297E69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Pr="00424B3E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page" w:tblpX="3661" w:tblpY="-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88"/>
      </w:tblGrid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ﻴﻮرم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"أسدّدُ"</w:t>
            </w:r>
          </w:p>
        </w:tc>
      </w:tr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تسدّدُ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يسدّدُ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ﻴﻮرز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نسدّدُ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ﯖ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ُ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تسدّدون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42D78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ا</w:t>
            </w:r>
            <w:r w:rsidRPr="00242D78">
              <w:rPr>
                <w:rFonts w:ascii="UKIJ Nasq" w:hAnsi="UKIJ Nasq" w:cs="UKIJ Nasq"/>
                <w:kern w:val="16"/>
                <w:sz w:val="36"/>
                <w:szCs w:val="36"/>
                <w:rtl/>
              </w:rPr>
              <w:t>ۆ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د</w:t>
            </w:r>
            <w:r w:rsidRPr="00242D78">
              <w:rPr>
                <w:rFonts w:ascii="UKIJ Nasq" w:hAnsi="UKIJ Nasq" w:cs="UKIJ Nasq" w:hint="cs"/>
                <w:color w:val="A6A6A6" w:themeColor="background1" w:themeShade="A6"/>
                <w:kern w:val="16"/>
                <w:sz w:val="36"/>
                <w:szCs w:val="36"/>
                <w:rtl/>
              </w:rPr>
              <w:t>ﻳ</w:t>
            </w:r>
            <w:r w:rsidRPr="00242D78">
              <w:rPr>
                <w:rFonts w:ascii="UKIJ Nasq" w:hAnsi="UKIJ Nasq" w:cs="UKIJ Nasq" w:hint="cs"/>
                <w:kern w:val="16"/>
                <w:sz w:val="36"/>
                <w:szCs w:val="36"/>
                <w:rtl/>
              </w:rPr>
              <w:t>ﻴﻮرلَر</w:t>
            </w:r>
            <w:proofErr w:type="spellEnd"/>
          </w:p>
        </w:tc>
        <w:tc>
          <w:tcPr>
            <w:tcW w:w="1288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يسدّدون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spellStart"/>
      <w:r w:rsidRPr="00D0785F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ا</w:t>
      </w:r>
      <w:r w:rsidRPr="00D0785F">
        <w:rPr>
          <w:rFonts w:ascii="UKIJ Nasq" w:hAnsi="UKIJ Nasq" w:cs="UKIJ Nasq"/>
          <w:spacing w:val="-2"/>
          <w:kern w:val="16"/>
          <w:sz w:val="36"/>
          <w:szCs w:val="36"/>
          <w:rtl/>
        </w:rPr>
        <w:t>ۆ</w:t>
      </w:r>
      <w:r w:rsidRPr="00D0785F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د</w:t>
      </w:r>
      <w:r w:rsidRPr="00D0785F">
        <w:rPr>
          <w:rFonts w:ascii="UKIJ Nasq" w:hAnsi="UKIJ Nasq" w:cs="UKIJ Nasq"/>
          <w:spacing w:val="-2"/>
          <w:kern w:val="16"/>
          <w:sz w:val="36"/>
          <w:szCs w:val="36"/>
          <w:rtl/>
        </w:rPr>
        <w:t>ﻩ</w:t>
      </w:r>
      <w:r w:rsidRPr="00D0785F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>مك</w:t>
      </w:r>
      <w:proofErr w:type="spellEnd"/>
      <w:r w:rsidRPr="00D0785F">
        <w:rPr>
          <w:rFonts w:ascii="UKIJ Nasq" w:hAnsi="UKIJ Nasq" w:cs="UKIJ Nasq" w:hint="cs"/>
          <w:spacing w:val="-2"/>
          <w:kern w:val="16"/>
          <w:sz w:val="36"/>
          <w:szCs w:val="36"/>
          <w:rtl/>
        </w:rPr>
        <w:t xml:space="preserve"> "دفع الثمن، وفى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</w:t>
      </w:r>
      <w:r w:rsidRPr="00D0785F">
        <w:rPr>
          <w:rFonts w:ascii="UKIJ Nasq" w:hAnsi="UKIJ Nasq" w:cs="UKIJ Nasq" w:hint="cs"/>
          <w:kern w:val="16"/>
          <w:sz w:val="36"/>
          <w:szCs w:val="36"/>
          <w:rtl/>
        </w:rPr>
        <w:t>دينًا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"</w:t>
      </w: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Pr="0018602F" w:rsidRDefault="00927371" w:rsidP="00927371">
      <w:pPr>
        <w:bidi/>
        <w:spacing w:after="18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18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page" w:tblpX="3541" w:tblpY="66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ُم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"لا أعرفُ"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 w:rsidRPr="00CA4913"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B27E0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ُز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نعرفُ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تعرفون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بيل</w:t>
            </w:r>
            <w:r w:rsidRPr="00EC7B0C"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pacing w:val="2"/>
                <w:kern w:val="16"/>
                <w:sz w:val="36"/>
                <w:szCs w:val="36"/>
                <w:rtl/>
              </w:rPr>
              <w:t>َ</w:t>
            </w:r>
            <w:r w:rsidRPr="0084673B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ْلَر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يعرفون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Pr="00242D78" w:rsidRDefault="00927371" w:rsidP="00927371">
      <w:pPr>
        <w:bidi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12"/>
          <w:szCs w:val="12"/>
          <w:rtl/>
        </w:rPr>
      </w:pPr>
    </w:p>
    <w:p w:rsidR="00927371" w:rsidRPr="00553BB6" w:rsidRDefault="00927371" w:rsidP="00927371">
      <w:pPr>
        <w:bidi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r w:rsidRPr="00011124"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position w:val="-6"/>
          <w:sz w:val="40"/>
          <w:szCs w:val="40"/>
        </w:rPr>
        <w:sym w:font="Wingdings 2" w:char="F03E"/>
      </w: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36"/>
          <w:sz w:val="36"/>
          <w:szCs w:val="36"/>
          <w:rtl/>
        </w:rPr>
        <w:t xml:space="preserve"> 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في الحالة المنفية،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ت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درج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العلامة</w:t>
      </w:r>
      <w:r w:rsidRPr="00553BB6"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</w:t>
      </w:r>
      <w:r w:rsidRPr="00B81751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ﻤ</w:t>
      </w:r>
      <w:r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َ</w:t>
      </w:r>
      <w:r w:rsidRPr="00B81751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قبل لاحقة الزمن.</w:t>
      </w: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بيلْمك "عرف"</w:t>
      </w: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927371" w:rsidRPr="00C96E72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8"/>
          <w:szCs w:val="18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ind w:left="707"/>
        <w:jc w:val="both"/>
        <w:rPr>
          <w:rFonts w:ascii="UKIJ Nasq" w:hAnsi="UKIJ Nasq" w:cs="UKIJ Nasq"/>
          <w:spacing w:val="2"/>
          <w:kern w:val="16"/>
          <w:sz w:val="12"/>
          <w:szCs w:val="12"/>
          <w:rtl/>
        </w:rPr>
      </w:pPr>
    </w:p>
    <w:tbl>
      <w:tblPr>
        <w:tblStyle w:val="Grilledutableau"/>
        <w:tblpPr w:leftFromText="141" w:rightFromText="141" w:vertAnchor="text" w:horzAnchor="page" w:tblpX="3721" w:tblpY="-1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م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لا أقرأُ</w:t>
            </w: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ﯔ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لا تقرأُ</w:t>
            </w: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Pr="002B27E0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يور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لا يقرأُ</w:t>
            </w: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ز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لا نقرأُ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ﯖ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ُ</w:t>
            </w:r>
            <w:r w:rsidRPr="00DE59B7">
              <w:rPr>
                <w:rFonts w:ascii="UKIJ Nasq" w:hAnsi="UKIJ Nasq" w:cs="UKIJ Nasq" w:hint="cs"/>
                <w:sz w:val="36"/>
                <w:szCs w:val="36"/>
                <w:rtl/>
              </w:rPr>
              <w:t>ﺰ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 xml:space="preserve">لا </w:t>
            </w: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تقرأون</w:t>
            </w:r>
            <w:proofErr w:type="spellEnd"/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  <w:tr w:rsidR="00927371" w:rsidTr="003C2F10"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او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ﻗﯘ</w:t>
            </w:r>
            <w:r w:rsidRPr="00433FD5"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  <w:t>م</w:t>
            </w:r>
            <w:r>
              <w:rPr>
                <w:rFonts w:ascii="UKIJ Nasq" w:hAnsi="UKIJ Nasq" w:cs="UKIJ Nasq" w:hint="cs"/>
                <w:color w:val="A6A6A6" w:themeColor="background1" w:themeShade="A6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يور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ْ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ل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َ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ر</w:t>
            </w:r>
            <w:proofErr w:type="spellEnd"/>
          </w:p>
        </w:tc>
        <w:tc>
          <w:tcPr>
            <w:tcW w:w="1701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  <w:r w:rsidRPr="00DE59B7">
              <w:rPr>
                <w:rFonts w:ascii="UKIJ Nasq" w:hAnsi="UKIJ Nasq" w:cs="UKIJ Nasq"/>
                <w:sz w:val="36"/>
                <w:szCs w:val="36"/>
                <w:rtl/>
              </w:rPr>
              <w:t>لا يقرأون</w:t>
            </w:r>
            <w:r w:rsidRPr="00DE59B7">
              <w:rPr>
                <w:rFonts w:ascii="UKIJ Nasq" w:hAnsi="UKIJ Nasq" w:cs="UKIJ Nasq"/>
                <w:sz w:val="36"/>
                <w:szCs w:val="36"/>
              </w:rPr>
              <w:t>"</w:t>
            </w:r>
          </w:p>
        </w:tc>
      </w:tr>
    </w:tbl>
    <w:p w:rsidR="00927371" w:rsidRPr="00DE59B7" w:rsidRDefault="00927371" w:rsidP="00927371">
      <w:pPr>
        <w:bidi/>
        <w:spacing w:after="60"/>
        <w:ind w:left="708"/>
        <w:jc w:val="left"/>
        <w:rPr>
          <w:rFonts w:ascii="UKIJ Nasq" w:hAnsi="UKIJ Nasq" w:cs="UKIJ Nasq"/>
          <w:sz w:val="36"/>
          <w:szCs w:val="36"/>
          <w:rtl/>
        </w:rPr>
      </w:pPr>
      <w:proofErr w:type="spellStart"/>
      <w:r w:rsidRPr="00DE59B7">
        <w:rPr>
          <w:rFonts w:ascii="UKIJ Nasq" w:hAnsi="UKIJ Nasq" w:cs="UKIJ Nasq"/>
          <w:sz w:val="36"/>
          <w:szCs w:val="36"/>
          <w:rtl/>
        </w:rPr>
        <w:t>او</w:t>
      </w:r>
      <w:r>
        <w:rPr>
          <w:rFonts w:ascii="UKIJ Nasq" w:hAnsi="UKIJ Nasq" w:cs="UKIJ Nasq" w:hint="cs"/>
          <w:sz w:val="36"/>
          <w:szCs w:val="36"/>
          <w:rtl/>
        </w:rPr>
        <w:t>ﻗﯘ</w:t>
      </w:r>
      <w:r w:rsidRPr="00DE59B7">
        <w:rPr>
          <w:rFonts w:ascii="UKIJ Nasq" w:hAnsi="UKIJ Nasq" w:cs="UKIJ Nasq"/>
          <w:sz w:val="36"/>
          <w:szCs w:val="36"/>
          <w:rtl/>
        </w:rPr>
        <w:t>مق</w:t>
      </w:r>
      <w:proofErr w:type="spellEnd"/>
      <w:r w:rsidRPr="00DE59B7">
        <w:rPr>
          <w:rFonts w:ascii="UKIJ Nasq" w:hAnsi="UKIJ Nasq" w:cs="UKIJ Nasq"/>
          <w:sz w:val="36"/>
          <w:szCs w:val="36"/>
          <w:rtl/>
        </w:rPr>
        <w:t xml:space="preserve"> "قرأ</w:t>
      </w:r>
      <w:r w:rsidRPr="00DE59B7">
        <w:rPr>
          <w:rFonts w:ascii="UKIJ Nasq" w:hAnsi="UKIJ Nasq" w:cs="UKIJ Nasq"/>
          <w:sz w:val="36"/>
          <w:szCs w:val="36"/>
        </w:rPr>
        <w:t>"</w:t>
      </w:r>
    </w:p>
    <w:p w:rsidR="00927371" w:rsidRDefault="00927371" w:rsidP="00927371">
      <w:pPr>
        <w:bidi/>
        <w:spacing w:after="60"/>
        <w:jc w:val="left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left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left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left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left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927371" w:rsidRPr="00225AD9" w:rsidRDefault="00927371" w:rsidP="00927371">
      <w:pPr>
        <w:bidi/>
        <w:spacing w:after="60"/>
        <w:jc w:val="both"/>
        <w:rPr>
          <w:rFonts w:ascii="UKIJ Nasq" w:hAnsi="UKIJ Nasq" w:cs="UKIJ Nasq"/>
          <w:spacing w:val="-4"/>
          <w:kern w:val="36"/>
          <w:sz w:val="36"/>
          <w:szCs w:val="36"/>
          <w:rtl/>
        </w:rPr>
      </w:pPr>
      <w:r>
        <w:rPr>
          <w:rFonts w:ascii="UKIJ Nasq" w:hAnsi="UKIJ Nasq" w:cs="UKIJ Nasq" w:hint="cs"/>
          <w:sz w:val="36"/>
          <w:szCs w:val="36"/>
          <w:rtl/>
        </w:rPr>
        <w:t xml:space="preserve">يجعل الحال في صيغة الاستفهام بتصريفه على الشخص الثالث، وتكتب بعده منفصلة أداة </w:t>
      </w:r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الاستفهام </w:t>
      </w:r>
      <w:r w:rsidRPr="00225AD9">
        <w:rPr>
          <w:rFonts w:ascii="UKIJ Nasq" w:hAnsi="UKIJ Nasq" w:cs="UKIJ Nasq" w:hint="cs"/>
          <w:color w:val="A6A6A6" w:themeColor="background1" w:themeShade="A6"/>
          <w:spacing w:val="-4"/>
          <w:kern w:val="36"/>
          <w:sz w:val="36"/>
          <w:szCs w:val="36"/>
          <w:rtl/>
        </w:rPr>
        <w:t>مي</w:t>
      </w:r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 متبوعة بلاحقة التصريف (ما عدا في صيغة الجمع للغائب، فإنّ الضمير </w:t>
      </w:r>
      <w:proofErr w:type="spellStart"/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>لر</w:t>
      </w:r>
      <w:proofErr w:type="spellEnd"/>
      <w:r w:rsidRPr="00225AD9">
        <w:rPr>
          <w:rFonts w:ascii="UKIJ Nasq" w:hAnsi="UKIJ Nasq" w:cs="UKIJ Nasq" w:hint="cs"/>
          <w:spacing w:val="-4"/>
          <w:kern w:val="36"/>
          <w:sz w:val="36"/>
          <w:szCs w:val="36"/>
          <w:rtl/>
        </w:rPr>
        <w:t xml:space="preserve"> يسبقها).</w:t>
      </w:r>
    </w:p>
    <w:p w:rsidR="00927371" w:rsidRPr="00433FD5" w:rsidRDefault="00927371" w:rsidP="00927371">
      <w:pPr>
        <w:bidi/>
        <w:spacing w:after="60"/>
        <w:jc w:val="both"/>
        <w:rPr>
          <w:rFonts w:ascii="UKIJ Nasq" w:hAnsi="UKIJ Nasq" w:cs="UKIJ Nasq"/>
          <w:color w:val="A6A6A6" w:themeColor="background1" w:themeShade="A6"/>
          <w:spacing w:val="2"/>
          <w:kern w:val="16"/>
          <w:sz w:val="12"/>
          <w:szCs w:val="12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  <w:proofErr w:type="gramStart"/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ملاحظة :</w:t>
      </w:r>
      <w:proofErr w:type="gramEnd"/>
      <w:r>
        <w:rPr>
          <w:rFonts w:ascii="UKIJ Nasq" w:hAnsi="UKIJ Nasq" w:cs="UKIJ Nasq" w:hint="cs"/>
          <w:color w:val="FF0000"/>
          <w:spacing w:val="2"/>
          <w:kern w:val="16"/>
          <w:sz w:val="36"/>
          <w:szCs w:val="36"/>
          <w:rtl/>
        </w:rPr>
        <w:t xml:space="preserve"> </w:t>
      </w:r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أداة الاستفهام تخضع للمطابقة الصوتية ؛ وعليه، فإنّها تتبع في النطق ما يسبقها، بحيث تكون إمّا كسرة خفيفة أو ثقيلة، وإمّا ضمّة خفيفة أو ثقيلة.</w:t>
      </w: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  <w:proofErr w:type="gramStart"/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م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ث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>ا</w:t>
      </w:r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>ل</w:t>
      </w:r>
      <w:r w:rsidRPr="00EC7B0C">
        <w:rPr>
          <w:rFonts w:ascii="UKIJ Nasq" w:hAnsi="UKIJ Nasq" w:cs="UKIJ Nasq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:</w:t>
      </w:r>
      <w:proofErr w:type="gramEnd"/>
      <w:r w:rsidRPr="00EC7B0C">
        <w:rPr>
          <w:rFonts w:ascii="UKIJ Nasq" w:hAnsi="UKIJ Nasq" w:cs="UKIJ Nasq" w:hint="cs"/>
          <w:color w:val="A6A6A6" w:themeColor="background1" w:themeShade="A6"/>
          <w:spacing w:val="2"/>
          <w:kern w:val="16"/>
          <w:sz w:val="36"/>
          <w:szCs w:val="36"/>
          <w:rtl/>
        </w:rPr>
        <w:t xml:space="preserve"> </w:t>
      </w:r>
      <w:proofErr w:type="spellStart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>ﮔﻠﻤﻚ</w:t>
      </w:r>
      <w:proofErr w:type="spellEnd"/>
      <w:r>
        <w:rPr>
          <w:rFonts w:ascii="UKIJ Nasq" w:hAnsi="UKIJ Nasq" w:cs="UKIJ Nasq" w:hint="cs"/>
          <w:spacing w:val="2"/>
          <w:kern w:val="16"/>
          <w:sz w:val="36"/>
          <w:szCs w:val="36"/>
          <w:rtl/>
        </w:rPr>
        <w:t xml:space="preserve"> "أتى"</w:t>
      </w:r>
    </w:p>
    <w:tbl>
      <w:tblPr>
        <w:tblStyle w:val="Grilledutableau"/>
        <w:tblpPr w:leftFromText="141" w:rightFromText="141" w:vertAnchor="text" w:horzAnchor="margin" w:tblpXSpec="center" w:tblpY="-18"/>
        <w:bidiVisual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927371" w:rsidTr="003C2F10"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مُيُم؟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آتي؟"</w:t>
            </w:r>
          </w:p>
        </w:tc>
      </w:tr>
      <w:tr w:rsidR="00927371" w:rsidTr="003C2F10"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ED7B61">
              <w:rPr>
                <w:rFonts w:ascii="UKIJ Nasq" w:hAnsi="UKIJ Nasq" w:cs="UKIJ Nasq"/>
                <w:spacing w:val="2"/>
                <w:kern w:val="16"/>
                <w:sz w:val="36"/>
                <w:szCs w:val="36"/>
                <w:u w:val="single"/>
                <w:rtl/>
              </w:rPr>
              <w:t>ﻣﻴﺴﯔ</w:t>
            </w:r>
            <w:proofErr w:type="spellEnd"/>
            <w:r w:rsidRPr="00A8105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؟ 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(تنطق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مو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ﯔ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تأتي؟ ؛ هل تأتين؟"</w:t>
            </w:r>
          </w:p>
        </w:tc>
      </w:tr>
      <w:tr w:rsidR="00927371" w:rsidTr="003C2F10">
        <w:tc>
          <w:tcPr>
            <w:tcW w:w="3402" w:type="dxa"/>
          </w:tcPr>
          <w:p w:rsidR="00927371" w:rsidRPr="002B27E0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r w:rsidRPr="00A81057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u w:val="single"/>
                <w:rtl/>
              </w:rPr>
              <w:t>مي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؟ (تنطق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مو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يأتي؟ ؛ هل تأتي؟"</w:t>
            </w:r>
          </w:p>
        </w:tc>
      </w:tr>
      <w:tr w:rsidR="00927371" w:rsidTr="003C2F10"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مُيُز؟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>
              <w:rPr>
                <w:rFonts w:ascii="UKIJ Nasq" w:hAnsi="UKIJ Nasq" w:cs="UKIJ Nasq" w:hint="cs"/>
                <w:sz w:val="36"/>
                <w:szCs w:val="36"/>
                <w:rtl/>
              </w:rPr>
              <w:t>"هل نأتي؟"</w:t>
            </w:r>
          </w:p>
        </w:tc>
      </w:tr>
      <w:tr w:rsidR="00927371" w:rsidTr="003C2F10"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</w:t>
            </w:r>
            <w:proofErr w:type="spellStart"/>
            <w:r w:rsidRPr="00ED7B61">
              <w:rPr>
                <w:rFonts w:ascii="UKIJ Nasq" w:hAnsi="UKIJ Nasq" w:cs="UKIJ Nasq"/>
                <w:spacing w:val="2"/>
                <w:kern w:val="16"/>
                <w:sz w:val="36"/>
                <w:szCs w:val="36"/>
                <w:u w:val="single"/>
                <w:rtl/>
              </w:rPr>
              <w:t>ﻣﻴﺴ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u w:val="single"/>
                <w:rtl/>
              </w:rPr>
              <w:t>ﯖﺰ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؟ (تنطق </w:t>
            </w:r>
            <w:proofErr w:type="spellStart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مو</w:t>
            </w:r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ﺳ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ُ</w:t>
            </w:r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u w:val="single"/>
                <w:rtl/>
              </w:rPr>
              <w:t>ﯖُﺰ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)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تأتون؟ ؛ هل تأتين؟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  <w:tr w:rsidR="00927371" w:rsidTr="003C2F10"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center"/>
              <w:rPr>
                <w:rFonts w:ascii="UKIJ Nasq" w:hAnsi="UKIJ Nasq" w:cs="UKIJ Nasq"/>
                <w:sz w:val="36"/>
                <w:szCs w:val="36"/>
                <w:rtl/>
              </w:rPr>
            </w:pPr>
            <w:proofErr w:type="spellStart"/>
            <w:r>
              <w:rPr>
                <w:rFonts w:ascii="UKIJ Nasq" w:hAnsi="UKIJ Nasq" w:cs="UKIJ Nasq"/>
                <w:spacing w:val="2"/>
                <w:kern w:val="16"/>
                <w:sz w:val="36"/>
                <w:szCs w:val="36"/>
                <w:rtl/>
              </w:rPr>
              <w:t>ﮔﻠ</w:t>
            </w:r>
            <w:r w:rsidRPr="00ED7B61"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>ﻴﻮر</w:t>
            </w:r>
            <w:proofErr w:type="spellEnd"/>
            <w:r>
              <w:rPr>
                <w:rFonts w:ascii="UKIJ Nasq" w:hAnsi="UKIJ Nasq" w:cs="UKIJ Nasq" w:hint="cs"/>
                <w:spacing w:val="2"/>
                <w:kern w:val="16"/>
                <w:sz w:val="36"/>
                <w:szCs w:val="36"/>
                <w:rtl/>
              </w:rPr>
              <w:t xml:space="preserve"> لرمي؟</w:t>
            </w:r>
          </w:p>
        </w:tc>
        <w:tc>
          <w:tcPr>
            <w:tcW w:w="3402" w:type="dxa"/>
          </w:tcPr>
          <w:p w:rsidR="00927371" w:rsidRDefault="00927371" w:rsidP="003C2F10">
            <w:pPr>
              <w:bidi/>
              <w:spacing w:after="60"/>
              <w:jc w:val="left"/>
              <w:rPr>
                <w:rFonts w:ascii="UKIJ Nasq" w:hAnsi="UKIJ Nasq" w:cs="UKIJ Nasq"/>
                <w:sz w:val="36"/>
                <w:szCs w:val="36"/>
                <w:rtl/>
              </w:rPr>
            </w:pP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  <w:r>
              <w:rPr>
                <w:rFonts w:ascii="UKIJ Nasq" w:hAnsi="UKIJ Nasq" w:cs="UKIJ Nasq" w:hint="cs"/>
                <w:sz w:val="36"/>
                <w:szCs w:val="36"/>
                <w:rtl/>
              </w:rPr>
              <w:t>هل يأتون؟ ؛ هل يأتين؟</w:t>
            </w:r>
            <w:r w:rsidRPr="00BE1B6B">
              <w:rPr>
                <w:rFonts w:ascii="UKIJ Nasq" w:hAnsi="UKIJ Nasq" w:cs="UKIJ Nasq" w:hint="cs"/>
                <w:sz w:val="36"/>
                <w:szCs w:val="36"/>
                <w:rtl/>
              </w:rPr>
              <w:t>"</w:t>
            </w:r>
          </w:p>
        </w:tc>
      </w:tr>
    </w:tbl>
    <w:p w:rsidR="00927371" w:rsidRPr="00686AAD" w:rsidRDefault="00927371" w:rsidP="00927371">
      <w:pPr>
        <w:bidi/>
        <w:spacing w:after="60"/>
        <w:jc w:val="both"/>
        <w:rPr>
          <w:rFonts w:ascii="UKIJ Nasq" w:hAnsi="UKIJ Nasq" w:cs="UKIJ Nasq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bidi/>
        <w:spacing w:after="60"/>
        <w:jc w:val="both"/>
        <w:rPr>
          <w:rFonts w:ascii="UKIJ Nasq" w:hAnsi="UKIJ Nasq" w:cs="UKIJ Nasq"/>
          <w:sz w:val="36"/>
          <w:szCs w:val="36"/>
          <w:rtl/>
        </w:rPr>
      </w:pPr>
    </w:p>
    <w:p w:rsidR="00927371" w:rsidRDefault="00927371" w:rsidP="00927371">
      <w:pPr>
        <w:pStyle w:val="Paragraphedeliste"/>
        <w:bidi/>
        <w:spacing w:after="60"/>
        <w:ind w:left="282"/>
        <w:jc w:val="both"/>
        <w:rPr>
          <w:rFonts w:ascii="UKIJ Nasq" w:hAnsi="UKIJ Nasq" w:cs="UKIJ Nasq"/>
          <w:color w:val="FF0000"/>
          <w:sz w:val="36"/>
          <w:szCs w:val="36"/>
        </w:rPr>
      </w:pPr>
    </w:p>
    <w:p w:rsidR="00927371" w:rsidRPr="00C96E72" w:rsidRDefault="00927371" w:rsidP="00927371">
      <w:pPr>
        <w:pStyle w:val="Paragraphedeliste"/>
        <w:bidi/>
        <w:spacing w:after="60"/>
        <w:ind w:left="282"/>
        <w:jc w:val="both"/>
        <w:rPr>
          <w:rFonts w:ascii="UKIJ Nasq" w:hAnsi="UKIJ Nasq" w:cs="UKIJ Nasq"/>
          <w:color w:val="FF0000"/>
          <w:sz w:val="18"/>
          <w:szCs w:val="18"/>
        </w:rPr>
      </w:pPr>
    </w:p>
    <w:p w:rsidR="00927371" w:rsidRPr="00C96E72" w:rsidRDefault="00927371" w:rsidP="00927371">
      <w:pPr>
        <w:pStyle w:val="Paragraphedeliste"/>
        <w:bidi/>
        <w:spacing w:after="60"/>
        <w:ind w:left="282"/>
        <w:jc w:val="both"/>
        <w:rPr>
          <w:rFonts w:ascii="UKIJ Nasq" w:hAnsi="UKIJ Nasq" w:cs="UKIJ Nasq"/>
          <w:color w:val="FF0000"/>
          <w:sz w:val="18"/>
          <w:szCs w:val="18"/>
        </w:rPr>
      </w:pPr>
    </w:p>
    <w:p w:rsidR="00927371" w:rsidRDefault="00927371" w:rsidP="00927371">
      <w:pPr>
        <w:pStyle w:val="Paragraphedeliste"/>
        <w:bidi/>
        <w:spacing w:after="60"/>
        <w:ind w:left="282"/>
        <w:jc w:val="both"/>
        <w:rPr>
          <w:rFonts w:ascii="UKIJ Nasq" w:hAnsi="UKIJ Nasq" w:cs="UKIJ Nasq"/>
          <w:b/>
          <w:bCs/>
          <w:color w:val="A6A6A6" w:themeColor="background1" w:themeShade="A6"/>
          <w:sz w:val="18"/>
          <w:szCs w:val="18"/>
          <w:rtl/>
        </w:rPr>
      </w:pPr>
    </w:p>
    <w:p w:rsidR="00927371" w:rsidRPr="00433FD5" w:rsidRDefault="00927371" w:rsidP="00927371">
      <w:pPr>
        <w:pStyle w:val="Paragraphedeliste"/>
        <w:bidi/>
        <w:ind w:left="284"/>
        <w:jc w:val="both"/>
        <w:rPr>
          <w:rFonts w:ascii="UKIJ Nasq" w:hAnsi="UKIJ Nasq" w:cs="UKIJ Nasq"/>
          <w:b/>
          <w:bCs/>
          <w:color w:val="A6A6A6" w:themeColor="background1" w:themeShade="A6"/>
          <w:sz w:val="18"/>
          <w:szCs w:val="18"/>
        </w:rPr>
      </w:pPr>
    </w:p>
    <w:p w:rsidR="00927371" w:rsidRPr="00686AAD" w:rsidRDefault="00927371" w:rsidP="00927371">
      <w:pPr>
        <w:pStyle w:val="Paragraphedeliste"/>
        <w:bidi/>
        <w:ind w:left="284"/>
        <w:jc w:val="both"/>
        <w:rPr>
          <w:rFonts w:ascii="UKIJ Nasq" w:hAnsi="UKIJ Nasq" w:cs="UKIJ Nasq"/>
          <w:b/>
          <w:bCs/>
          <w:color w:val="A6A6A6" w:themeColor="background1" w:themeShade="A6"/>
          <w:sz w:val="12"/>
          <w:szCs w:val="12"/>
        </w:rPr>
      </w:pPr>
    </w:p>
    <w:p w:rsidR="00614682" w:rsidRDefault="00614682" w:rsidP="00927371">
      <w:pPr>
        <w:bidi/>
      </w:pPr>
    </w:p>
    <w:sectPr w:rsidR="0061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58" w:rsidRDefault="00491958" w:rsidP="00927371">
      <w:r>
        <w:separator/>
      </w:r>
    </w:p>
  </w:endnote>
  <w:endnote w:type="continuationSeparator" w:id="0">
    <w:p w:rsidR="00491958" w:rsidRDefault="00491958" w:rsidP="0092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58" w:rsidRDefault="00491958" w:rsidP="00927371">
      <w:r>
        <w:separator/>
      </w:r>
    </w:p>
  </w:footnote>
  <w:footnote w:type="continuationSeparator" w:id="0">
    <w:p w:rsidR="00491958" w:rsidRDefault="00491958" w:rsidP="0092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71" w:rsidRDefault="00927371">
    <w:pPr>
      <w:pStyle w:val="En-tte"/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3)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  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14C"/>
    <w:multiLevelType w:val="hybridMultilevel"/>
    <w:tmpl w:val="485EBE5C"/>
    <w:lvl w:ilvl="0" w:tplc="58E0E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1"/>
    <w:rsid w:val="000D146E"/>
    <w:rsid w:val="00123889"/>
    <w:rsid w:val="00363306"/>
    <w:rsid w:val="00491958"/>
    <w:rsid w:val="00614682"/>
    <w:rsid w:val="009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F635"/>
  <w15:chartTrackingRefBased/>
  <w15:docId w15:val="{3FA3637A-1CCC-4072-AD56-0F8D20C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71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7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273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73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371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9273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371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2023-11-21T05:58:00Z</dcterms:created>
  <dcterms:modified xsi:type="dcterms:W3CDTF">2023-11-21T06:02:00Z</dcterms:modified>
</cp:coreProperties>
</file>