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F5" w:rsidRPr="00AA28BC" w:rsidRDefault="009838F5" w:rsidP="00AA28BC">
      <w:pPr>
        <w:bidi/>
        <w:spacing w:after="120"/>
        <w:jc w:val="center"/>
        <w:rPr>
          <w:rFonts w:ascii="Sakkal Majalla" w:hAnsi="Sakkal Majalla" w:cs="Sakkal Majalla"/>
          <w:b/>
          <w:bCs/>
          <w:spacing w:val="1"/>
          <w:sz w:val="28"/>
          <w:szCs w:val="28"/>
          <w:rtl/>
        </w:rPr>
      </w:pPr>
      <w:bookmarkStart w:id="0" w:name="_GoBack"/>
      <w:bookmarkEnd w:id="0"/>
    </w:p>
    <w:p w:rsidR="00E45616" w:rsidRPr="00AA28BC" w:rsidRDefault="00E45616" w:rsidP="00AA28BC">
      <w:pPr>
        <w:bidi/>
        <w:spacing w:after="120"/>
        <w:jc w:val="center"/>
        <w:rPr>
          <w:rFonts w:ascii="Sakkal Majalla" w:hAnsi="Sakkal Majalla" w:cs="Sakkal Majalla"/>
          <w:b/>
          <w:bCs/>
          <w:spacing w:val="1"/>
          <w:sz w:val="12"/>
          <w:szCs w:val="12"/>
          <w:rtl/>
        </w:rPr>
      </w:pPr>
    </w:p>
    <w:p w:rsidR="009838F5" w:rsidRPr="00AA28BC" w:rsidRDefault="009838F5" w:rsidP="00AA28BC">
      <w:pPr>
        <w:bidi/>
        <w:spacing w:after="120"/>
        <w:jc w:val="center"/>
        <w:rPr>
          <w:rFonts w:ascii="Sakkal Majalla" w:hAnsi="Sakkal Majalla" w:cs="Sakkal Majalla"/>
          <w:b/>
          <w:bCs/>
          <w:color w:val="262626" w:themeColor="text1" w:themeTint="D9"/>
          <w:spacing w:val="4"/>
          <w:sz w:val="38"/>
          <w:szCs w:val="38"/>
          <w:rtl/>
        </w:rPr>
      </w:pPr>
      <w:r w:rsidRPr="00AA28BC">
        <w:rPr>
          <w:rFonts w:ascii="Sakkal Majalla" w:hAnsi="Sakkal Majalla" w:cs="Sakkal Majalla"/>
          <w:b/>
          <w:bCs/>
          <w:spacing w:val="4"/>
          <w:sz w:val="38"/>
          <w:szCs w:val="38"/>
          <w:rtl/>
        </w:rPr>
        <w:t>أنواع المصادر التاريخية</w:t>
      </w:r>
    </w:p>
    <w:p w:rsidR="009838F5" w:rsidRPr="00AA28BC" w:rsidRDefault="009838F5" w:rsidP="00AA28BC">
      <w:pPr>
        <w:bidi/>
        <w:spacing w:after="120"/>
        <w:jc w:val="both"/>
        <w:rPr>
          <w:rFonts w:ascii="Sakkal Majalla" w:hAnsi="Sakkal Majalla" w:cs="Sakkal Majalla"/>
          <w:b/>
          <w:bCs/>
          <w:color w:val="262626" w:themeColor="text1" w:themeTint="D9"/>
          <w:sz w:val="28"/>
          <w:szCs w:val="28"/>
          <w:rtl/>
        </w:rPr>
      </w:pPr>
    </w:p>
    <w:p w:rsidR="009838F5" w:rsidRPr="00AA28BC" w:rsidRDefault="009838F5" w:rsidP="00AA28BC">
      <w:pPr>
        <w:bidi/>
        <w:spacing w:after="120"/>
        <w:jc w:val="both"/>
        <w:rPr>
          <w:rFonts w:ascii="Sakkal Majalla" w:hAnsi="Sakkal Majalla" w:cs="Sakkal Majalla"/>
          <w:b/>
          <w:bCs/>
          <w:color w:val="262626" w:themeColor="text1" w:themeTint="D9"/>
          <w:sz w:val="32"/>
          <w:szCs w:val="32"/>
          <w:rtl/>
        </w:rPr>
      </w:pPr>
    </w:p>
    <w:p w:rsidR="009838F5" w:rsidRPr="00AA28BC" w:rsidRDefault="009838F5" w:rsidP="00AA28BC">
      <w:pPr>
        <w:pStyle w:val="Paragraphedeliste"/>
        <w:numPr>
          <w:ilvl w:val="0"/>
          <w:numId w:val="1"/>
        </w:numPr>
        <w:shd w:val="clear" w:color="auto" w:fill="FFFFFF"/>
        <w:bidi/>
        <w:spacing w:after="120"/>
        <w:ind w:left="714" w:hanging="357"/>
        <w:jc w:val="both"/>
        <w:rPr>
          <w:rFonts w:ascii="Sakkal Majalla" w:eastAsia="Times New Roman" w:hAnsi="Sakkal Majalla" w:cs="Sakkal Majalla"/>
          <w:noProof w:val="0"/>
          <w:color w:val="222222"/>
          <w:spacing w:val="-1"/>
          <w:sz w:val="32"/>
          <w:szCs w:val="32"/>
          <w:lang w:eastAsia="fr-FR"/>
        </w:rPr>
      </w:pPr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pacing w:val="-4"/>
          <w:sz w:val="36"/>
          <w:szCs w:val="36"/>
          <w:rtl/>
          <w:lang w:eastAsia="fr-FR"/>
        </w:rPr>
        <w:t xml:space="preserve">المصادر </w:t>
      </w:r>
      <w:proofErr w:type="gramStart"/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pacing w:val="-4"/>
          <w:sz w:val="36"/>
          <w:szCs w:val="36"/>
          <w:rtl/>
          <w:lang w:eastAsia="fr-FR"/>
        </w:rPr>
        <w:t xml:space="preserve">الأوّلية </w:t>
      </w:r>
      <w:r w:rsidRPr="00AA28BC">
        <w:rPr>
          <w:rFonts w:ascii="Sakkal Majalla" w:eastAsia="Times New Roman" w:hAnsi="Sakkal Majalla" w:cs="Sakkal Majalla"/>
          <w:noProof w:val="0"/>
          <w:color w:val="222222"/>
          <w:spacing w:val="-4"/>
          <w:sz w:val="32"/>
          <w:szCs w:val="32"/>
          <w:rtl/>
          <w:lang w:eastAsia="fr-FR"/>
        </w:rPr>
        <w:t>:</w:t>
      </w:r>
      <w:proofErr w:type="gramEnd"/>
      <w:r w:rsidRPr="00AA28BC">
        <w:rPr>
          <w:rFonts w:ascii="Sakkal Majalla" w:eastAsia="Times New Roman" w:hAnsi="Sakkal Majalla" w:cs="Sakkal Majalla"/>
          <w:noProof w:val="0"/>
          <w:color w:val="222222"/>
          <w:spacing w:val="-4"/>
          <w:sz w:val="32"/>
          <w:szCs w:val="32"/>
          <w:rtl/>
          <w:lang w:eastAsia="fr-FR"/>
        </w:rPr>
        <w:t xml:space="preserve"> وتسمّى أحيانًا المصادر الأساسية أو الأصلية، وهي المصادر الأولى للمعلومة </w:t>
      </w:r>
      <w:r w:rsidRPr="00AA28BC">
        <w:rPr>
          <w:rFonts w:ascii="Sakkal Majalla" w:eastAsia="Times New Roman" w:hAnsi="Sakkal Majalla" w:cs="Sakkal Majalla"/>
          <w:noProof w:val="0"/>
          <w:color w:val="222222"/>
          <w:spacing w:val="2"/>
          <w:sz w:val="32"/>
          <w:szCs w:val="32"/>
          <w:rtl/>
          <w:lang w:eastAsia="fr-FR"/>
        </w:rPr>
        <w:t>التاريخية ؛ وبتعريف آخر، فهي تلك المصادر الّتي لم تعتمد في نقلها للمعلومة على مصادر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 </w:t>
      </w:r>
      <w:r w:rsidRPr="00AA28BC">
        <w:rPr>
          <w:rFonts w:ascii="Sakkal Majalla" w:eastAsia="Times New Roman" w:hAnsi="Sakkal Majalla" w:cs="Sakkal Majalla"/>
          <w:noProof w:val="0"/>
          <w:color w:val="222222"/>
          <w:spacing w:val="-1"/>
          <w:sz w:val="32"/>
          <w:szCs w:val="32"/>
          <w:rtl/>
          <w:lang w:eastAsia="fr-FR"/>
        </w:rPr>
        <w:t xml:space="preserve">أخرى سبقتها، وإنّما هي أوّل مصدر أورد المعلومة. وتشمل المصادر الأولية عدّة أنواع، </w:t>
      </w:r>
      <w:proofErr w:type="gramStart"/>
      <w:r w:rsidRPr="00AA28BC">
        <w:rPr>
          <w:rFonts w:ascii="Sakkal Majalla" w:eastAsia="Times New Roman" w:hAnsi="Sakkal Majalla" w:cs="Sakkal Majalla"/>
          <w:noProof w:val="0"/>
          <w:color w:val="222222"/>
          <w:spacing w:val="-1"/>
          <w:sz w:val="32"/>
          <w:szCs w:val="32"/>
          <w:rtl/>
          <w:lang w:eastAsia="fr-FR"/>
        </w:rPr>
        <w:t>وهي :</w:t>
      </w:r>
      <w:proofErr w:type="gramEnd"/>
    </w:p>
    <w:p w:rsidR="009838F5" w:rsidRPr="00AA28BC" w:rsidRDefault="009838F5" w:rsidP="00AA28BC">
      <w:pPr>
        <w:pStyle w:val="Paragraphedeliste"/>
        <w:shd w:val="clear" w:color="auto" w:fill="FFFFFF"/>
        <w:bidi/>
        <w:spacing w:after="120"/>
        <w:jc w:val="both"/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</w:pP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- </w:t>
      </w:r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z w:val="32"/>
          <w:szCs w:val="32"/>
          <w:rtl/>
          <w:lang w:eastAsia="fr-FR"/>
        </w:rPr>
        <w:t xml:space="preserve">المصادر </w:t>
      </w:r>
      <w:proofErr w:type="gramStart"/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z w:val="32"/>
          <w:szCs w:val="32"/>
          <w:rtl/>
          <w:lang w:eastAsia="fr-FR"/>
        </w:rPr>
        <w:t>المادية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 :</w:t>
      </w:r>
      <w:proofErr w:type="gramEnd"/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 تشمل جميع المخلّفات الأثرية الّتي تعود إلى ماضي قريب أو بعيد ؛ وتمثّل أصدق الشواهد عن النشاط الإنساني، ونذكر من بينها : العمارة والآثار العمرانية – النقوش – المسكوكات – التحف الفنية – الأغراض اليومية – البقايا البشرية – المنحوتات – إلخ.</w:t>
      </w:r>
    </w:p>
    <w:p w:rsidR="009838F5" w:rsidRPr="00AA28BC" w:rsidRDefault="009838F5" w:rsidP="00AA28BC">
      <w:pPr>
        <w:pStyle w:val="Paragraphedeliste"/>
        <w:shd w:val="clear" w:color="auto" w:fill="FFFFFF"/>
        <w:bidi/>
        <w:spacing w:after="120"/>
        <w:jc w:val="both"/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</w:pP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- </w:t>
      </w:r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z w:val="32"/>
          <w:szCs w:val="32"/>
          <w:rtl/>
          <w:lang w:eastAsia="fr-FR"/>
        </w:rPr>
        <w:t xml:space="preserve">المصادر </w:t>
      </w:r>
      <w:proofErr w:type="gramStart"/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z w:val="32"/>
          <w:szCs w:val="32"/>
          <w:rtl/>
          <w:lang w:eastAsia="fr-FR"/>
        </w:rPr>
        <w:t>الشفوية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 :</w:t>
      </w:r>
      <w:proofErr w:type="gramEnd"/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 تمكننا من التعرّف على طابع الحياة الاجتماعية والثقافية في مجتمع ما، حيث تميط اللثام عن التراث اللامادي (الأمثال – القصائد التاريخية – الحكايات – الأغاني الشعبية)، والمعارف ذات الطابع الأنثروبولوجي (الأساطير و</w:t>
      </w:r>
      <w:r w:rsidR="0004615E"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الخرافات و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التقاليد الاجتماعية البالية في طور الاندثار)، إلى جانب الشهادات الشفوية والمرويات المتناقلة الّتي تشكّل إضافة للمصادر التقليدية (المكتوبة).</w:t>
      </w:r>
    </w:p>
    <w:p w:rsidR="009838F5" w:rsidRPr="00AA28BC" w:rsidRDefault="009838F5" w:rsidP="00AA28BC">
      <w:pPr>
        <w:pStyle w:val="Paragraphedeliste"/>
        <w:shd w:val="clear" w:color="auto" w:fill="FFFFFF"/>
        <w:bidi/>
        <w:spacing w:after="120"/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</w:pP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أهمّية المصادر </w:t>
      </w:r>
      <w:proofErr w:type="gramStart"/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الشفهية 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lang w:eastAsia="fr-FR"/>
        </w:rPr>
        <w:t xml:space="preserve"> :</w:t>
      </w:r>
      <w:proofErr w:type="gramEnd"/>
    </w:p>
    <w:p w:rsidR="009838F5" w:rsidRPr="00AA28BC" w:rsidRDefault="009838F5" w:rsidP="00AA28BC">
      <w:pPr>
        <w:pStyle w:val="Paragraphedeliste"/>
        <w:shd w:val="clear" w:color="auto" w:fill="FFFFFF"/>
        <w:bidi/>
        <w:spacing w:after="120"/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</w:pP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.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lang w:eastAsia="fr-FR"/>
        </w:rPr>
        <w:t xml:space="preserve"> 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لا وثائق يعني لا تاريخ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lang w:eastAsia="fr-FR"/>
        </w:rPr>
        <w:t xml:space="preserve"> 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lang w:eastAsia="fr-FR"/>
        </w:rPr>
        <w:sym w:font="Wingdings 3" w:char="F089"/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lang w:eastAsia="fr-FR"/>
        </w:rPr>
        <w:t xml:space="preserve"> 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يستلزم ذلك أحيانًا الاعتماد على الشهادات و الروايات الشفهية على اعتبار أنها ستكون المصدر الأساسي (الوحيد) للتوثيق التاريخي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lang w:eastAsia="fr-FR"/>
        </w:rPr>
        <w:t>.</w:t>
      </w:r>
    </w:p>
    <w:p w:rsidR="009838F5" w:rsidRPr="00AA28BC" w:rsidRDefault="009838F5" w:rsidP="00AA28BC">
      <w:pPr>
        <w:pStyle w:val="Paragraphedeliste"/>
        <w:shd w:val="clear" w:color="auto" w:fill="FFFFFF"/>
        <w:bidi/>
        <w:spacing w:after="120"/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</w:pP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. التاريخ الشفهي مصدر يدعّم أو يكمّل الوقائع الّتي وثّقتها المصادر التقليدية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lang w:eastAsia="fr-FR"/>
        </w:rPr>
        <w:t>.</w:t>
      </w:r>
    </w:p>
    <w:p w:rsidR="009838F5" w:rsidRPr="00AA28BC" w:rsidRDefault="009838F5" w:rsidP="00AA28BC">
      <w:pPr>
        <w:pStyle w:val="Paragraphedeliste"/>
        <w:shd w:val="clear" w:color="auto" w:fill="FFFFFF"/>
        <w:bidi/>
        <w:spacing w:after="120"/>
        <w:jc w:val="both"/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</w:pP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- </w:t>
      </w:r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z w:val="32"/>
          <w:szCs w:val="32"/>
          <w:rtl/>
          <w:lang w:eastAsia="fr-FR"/>
        </w:rPr>
        <w:t>المصادر الكتابية (القلمية)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 : تأتي في المقام الأوّل من مصادر التاريخ، وهي بشكلٍ عامّ الوثائق </w:t>
      </w:r>
      <w:r w:rsidRPr="00AA28BC">
        <w:rPr>
          <w:rFonts w:ascii="Sakkal Majalla" w:eastAsia="Times New Roman" w:hAnsi="Sakkal Majalla" w:cs="Sakkal Majalla"/>
          <w:noProof w:val="0"/>
          <w:color w:val="222222"/>
          <w:spacing w:val="1"/>
          <w:sz w:val="32"/>
          <w:szCs w:val="32"/>
          <w:rtl/>
          <w:lang w:eastAsia="fr-FR"/>
        </w:rPr>
        <w:t xml:space="preserve">الّتي حفظت وكتبت من قبل شخص مشارك في وقائعها، أو على الأقلّ شاهد – </w:t>
      </w:r>
      <w:r w:rsidRPr="00AA28BC">
        <w:rPr>
          <w:rFonts w:ascii="Sakkal Majalla" w:eastAsia="Times New Roman" w:hAnsi="Sakkal Majalla" w:cs="Sakkal Majalla"/>
          <w:noProof w:val="0"/>
          <w:color w:val="222222"/>
          <w:spacing w:val="-4"/>
          <w:sz w:val="32"/>
          <w:szCs w:val="32"/>
          <w:rtl/>
          <w:lang w:eastAsia="fr-FR"/>
        </w:rPr>
        <w:t>معاصر – لها ؛ وأعدّت أساسًا بغرض تهيئة المعلومات الّتي تحتويها للاستفادة منها والرجوع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 إليها مستقبلاً (الكتب المخطوطة والمطبوعة – المعاهدات – القوانين – القرارات – الفتاوى – الرسائل الشخصية – اليوميات – العقود – الشهادات – الخرائط – التقارير – الأحكام القضائية – الدفاتر المالية – السجلاّت الإدارية – المراسلات الرسمية – المذكّرات – المجلاّت – إلخ).</w:t>
      </w:r>
    </w:p>
    <w:p w:rsidR="00E45616" w:rsidRPr="00AA28BC" w:rsidRDefault="00E45616" w:rsidP="00AA28BC">
      <w:pPr>
        <w:pStyle w:val="Paragraphedeliste"/>
        <w:shd w:val="clear" w:color="auto" w:fill="FFFFFF"/>
        <w:bidi/>
        <w:spacing w:after="120"/>
        <w:jc w:val="both"/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</w:pPr>
    </w:p>
    <w:p w:rsidR="009838F5" w:rsidRPr="00AA28BC" w:rsidRDefault="009838F5" w:rsidP="00AA28BC">
      <w:pPr>
        <w:pStyle w:val="Paragraphedeliste"/>
        <w:numPr>
          <w:ilvl w:val="0"/>
          <w:numId w:val="2"/>
        </w:numPr>
        <w:shd w:val="clear" w:color="auto" w:fill="FFFFFF"/>
        <w:bidi/>
        <w:spacing w:after="120"/>
        <w:jc w:val="both"/>
        <w:rPr>
          <w:rFonts w:ascii="Sakkal Majalla" w:hAnsi="Sakkal Majalla" w:cs="Sakkal Majalla"/>
          <w:spacing w:val="-2"/>
          <w:sz w:val="32"/>
          <w:szCs w:val="32"/>
          <w:rtl/>
        </w:rPr>
      </w:pPr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z w:val="36"/>
          <w:szCs w:val="36"/>
          <w:rtl/>
          <w:lang w:eastAsia="fr-FR"/>
        </w:rPr>
        <w:t xml:space="preserve">المصادر </w:t>
      </w:r>
      <w:proofErr w:type="gramStart"/>
      <w:r w:rsidRPr="00AA28BC">
        <w:rPr>
          <w:rFonts w:ascii="Sakkal Majalla" w:eastAsia="Times New Roman" w:hAnsi="Sakkal Majalla" w:cs="Sakkal Majalla"/>
          <w:b/>
          <w:bCs/>
          <w:noProof w:val="0"/>
          <w:color w:val="222222"/>
          <w:sz w:val="36"/>
          <w:szCs w:val="36"/>
          <w:rtl/>
          <w:lang w:eastAsia="fr-FR"/>
        </w:rPr>
        <w:t>الثانوية :</w:t>
      </w:r>
      <w:proofErr w:type="gramEnd"/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 xml:space="preserve"> وهي الّتي تنقل عن المصادر الأوّلية، كما هو الحال في كتب المؤلفين </w:t>
      </w:r>
      <w:r w:rsidRPr="00AA28BC">
        <w:rPr>
          <w:rFonts w:ascii="Sakkal Majalla" w:eastAsia="Times New Roman" w:hAnsi="Sakkal Majalla" w:cs="Sakkal Majalla"/>
          <w:noProof w:val="0"/>
          <w:color w:val="222222"/>
          <w:spacing w:val="-2"/>
          <w:sz w:val="32"/>
          <w:szCs w:val="32"/>
          <w:rtl/>
          <w:lang w:eastAsia="fr-FR"/>
        </w:rPr>
        <w:t xml:space="preserve">الّذين يكونون قد استفادوا من تلك المعلومات أو عرضوا لها بطريق أو بآخر. وتفضّل المصادر الأوّلية غالبًا على المصادر الثانوية، على اعتبار أنّها أصلية. </w:t>
      </w:r>
      <w:proofErr w:type="gramStart"/>
      <w:r w:rsidRPr="00AA28BC">
        <w:rPr>
          <w:rFonts w:ascii="Sakkal Majalla" w:eastAsia="Times New Roman" w:hAnsi="Sakkal Majalla" w:cs="Sakkal Majalla"/>
          <w:noProof w:val="0"/>
          <w:color w:val="222222"/>
          <w:spacing w:val="-2"/>
          <w:sz w:val="32"/>
          <w:szCs w:val="32"/>
          <w:rtl/>
          <w:lang w:eastAsia="fr-FR"/>
        </w:rPr>
        <w:t>و في</w:t>
      </w:r>
      <w:proofErr w:type="gramEnd"/>
      <w:r w:rsidRPr="00AA28BC">
        <w:rPr>
          <w:rFonts w:ascii="Sakkal Majalla" w:eastAsia="Times New Roman" w:hAnsi="Sakkal Majalla" w:cs="Sakkal Majalla"/>
          <w:noProof w:val="0"/>
          <w:color w:val="222222"/>
          <w:spacing w:val="-2"/>
          <w:sz w:val="32"/>
          <w:szCs w:val="32"/>
          <w:rtl/>
          <w:lang w:eastAsia="fr-FR"/>
        </w:rPr>
        <w:t xml:space="preserve"> أحيان قليلة، تفضّل المصادر الثانوية على الأوّلية، وذلك حينما تكون المعلومات المنشورة في المصادر الأوّلية معروضة بصورة </w:t>
      </w:r>
      <w:r w:rsidRPr="00AA28BC">
        <w:rPr>
          <w:rFonts w:ascii="Sakkal Majalla" w:eastAsia="Times New Roman" w:hAnsi="Sakkal Majalla" w:cs="Sakkal Majalla"/>
          <w:noProof w:val="0"/>
          <w:color w:val="222222"/>
          <w:spacing w:val="2"/>
          <w:sz w:val="32"/>
          <w:szCs w:val="32"/>
          <w:rtl/>
          <w:lang w:eastAsia="fr-FR"/>
        </w:rPr>
        <w:t xml:space="preserve">بدائية، ثمّ يقوم بعض المحقّقين بتبويبها ونشرها في صورة أكثر إفادة للباحثين. ونذكر </w:t>
      </w:r>
      <w:proofErr w:type="gramStart"/>
      <w:r w:rsidRPr="00AA28BC">
        <w:rPr>
          <w:rFonts w:ascii="Sakkal Majalla" w:eastAsia="Times New Roman" w:hAnsi="Sakkal Majalla" w:cs="Sakkal Majalla"/>
          <w:noProof w:val="0"/>
          <w:color w:val="222222"/>
          <w:spacing w:val="2"/>
          <w:sz w:val="32"/>
          <w:szCs w:val="32"/>
          <w:rtl/>
          <w:lang w:eastAsia="fr-FR"/>
        </w:rPr>
        <w:t>منها :</w:t>
      </w:r>
      <w:proofErr w:type="gramEnd"/>
      <w:r w:rsidRPr="00AA28BC">
        <w:rPr>
          <w:rFonts w:ascii="Sakkal Majalla" w:eastAsia="Times New Roman" w:hAnsi="Sakkal Majalla" w:cs="Sakkal Majalla"/>
          <w:noProof w:val="0"/>
          <w:color w:val="222222"/>
          <w:spacing w:val="-2"/>
          <w:sz w:val="32"/>
          <w:szCs w:val="32"/>
          <w:rtl/>
          <w:lang w:eastAsia="fr-FR"/>
        </w:rPr>
        <w:t xml:space="preserve"> </w:t>
      </w:r>
      <w:r w:rsidRPr="00AA28BC">
        <w:rPr>
          <w:rFonts w:ascii="Sakkal Majalla" w:hAnsi="Sakkal Majalla" w:cs="Sakkal Majalla"/>
          <w:sz w:val="32"/>
          <w:szCs w:val="32"/>
          <w:rtl/>
        </w:rPr>
        <w:t xml:space="preserve">المؤلّفات 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–</w:t>
      </w:r>
      <w:r w:rsidRPr="00AA28B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4615E" w:rsidRPr="00AA28BC">
        <w:rPr>
          <w:rFonts w:ascii="Sakkal Majalla" w:hAnsi="Sakkal Majalla" w:cs="Sakkal Majalla"/>
          <w:sz w:val="32"/>
          <w:szCs w:val="32"/>
          <w:rtl/>
        </w:rPr>
        <w:t>الموسوعات و</w:t>
      </w:r>
      <w:r w:rsidRPr="00AA28BC">
        <w:rPr>
          <w:rFonts w:ascii="Sakkal Majalla" w:hAnsi="Sakkal Majalla" w:cs="Sakkal Majalla"/>
          <w:sz w:val="32"/>
          <w:szCs w:val="32"/>
          <w:rtl/>
        </w:rPr>
        <w:t xml:space="preserve">دوائر المعارف 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–</w:t>
      </w:r>
      <w:r w:rsidRPr="00AA28BC">
        <w:rPr>
          <w:rFonts w:ascii="Sakkal Majalla" w:hAnsi="Sakkal Majalla" w:cs="Sakkal Majalla"/>
          <w:sz w:val="32"/>
          <w:szCs w:val="32"/>
          <w:rtl/>
        </w:rPr>
        <w:t xml:space="preserve"> الصحف  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–</w:t>
      </w:r>
      <w:r w:rsidRPr="00AA28BC">
        <w:rPr>
          <w:rFonts w:ascii="Sakkal Majalla" w:hAnsi="Sakkal Majalla" w:cs="Sakkal Majalla"/>
          <w:sz w:val="32"/>
          <w:szCs w:val="32"/>
          <w:rtl/>
        </w:rPr>
        <w:t xml:space="preserve"> الدوريات – الرسائل الأكاديمية – المقالات العلمية – المحاضرات – أعمال الملتقيات – المطبوعات الدراسية </w:t>
      </w:r>
      <w:r w:rsidRPr="00AA28BC">
        <w:rPr>
          <w:rFonts w:ascii="Sakkal Majalla" w:eastAsia="Times New Roman" w:hAnsi="Sakkal Majalla" w:cs="Sakkal Majalla"/>
          <w:noProof w:val="0"/>
          <w:color w:val="222222"/>
          <w:sz w:val="32"/>
          <w:szCs w:val="32"/>
          <w:rtl/>
          <w:lang w:eastAsia="fr-FR"/>
        </w:rPr>
        <w:t>–</w:t>
      </w:r>
      <w:r w:rsidRPr="00AA28BC">
        <w:rPr>
          <w:rFonts w:ascii="Sakkal Majalla" w:hAnsi="Sakkal Majalla" w:cs="Sakkal Majalla"/>
          <w:sz w:val="32"/>
          <w:szCs w:val="32"/>
          <w:rtl/>
        </w:rPr>
        <w:t xml:space="preserve"> إلخ.</w:t>
      </w:r>
    </w:p>
    <w:p w:rsidR="009838F5" w:rsidRPr="00AA28BC" w:rsidRDefault="009838F5" w:rsidP="00AA28BC">
      <w:pPr>
        <w:bidi/>
        <w:spacing w:after="120"/>
        <w:ind w:left="708"/>
        <w:jc w:val="both"/>
        <w:rPr>
          <w:rFonts w:ascii="Sakkal Majalla" w:hAnsi="Sakkal Majalla" w:cs="Sakkal Majalla"/>
          <w:sz w:val="32"/>
          <w:szCs w:val="32"/>
          <w:rtl/>
        </w:rPr>
      </w:pPr>
      <w:r w:rsidRPr="00AA28BC">
        <w:rPr>
          <w:rFonts w:ascii="Sakkal Majalla" w:hAnsi="Sakkal Majalla" w:cs="Sakkal Majalla"/>
          <w:sz w:val="32"/>
          <w:szCs w:val="32"/>
          <w:rtl/>
        </w:rPr>
        <w:t>وتكمن أهمّية المصادر الثانوية في كون محتواها مهضوم ومنظّم (مبوّب)، يتيسّر للباحث الاطلاع عليه والوصول إلى المعلومة مقارنةً بالمصادر الأوّلية في شكلها الخامّ ؛ وذلك بقطع النظر عن احتمالات التحيّز والتشويه والتحريف والحذف الكبيرة الواردة فيها</w:t>
      </w:r>
      <w:r w:rsidRPr="00AA28BC">
        <w:rPr>
          <w:rFonts w:ascii="Sakkal Majalla" w:hAnsi="Sakkal Majalla" w:cs="Sakkal Majalla"/>
          <w:sz w:val="32"/>
          <w:szCs w:val="32"/>
        </w:rPr>
        <w:t>.</w:t>
      </w:r>
    </w:p>
    <w:p w:rsidR="00A974E6" w:rsidRPr="00AA28BC" w:rsidRDefault="00A974E6" w:rsidP="00AA28BC">
      <w:pPr>
        <w:bidi/>
        <w:spacing w:after="120"/>
        <w:ind w:left="283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A974E6" w:rsidRPr="00AA28BC" w:rsidRDefault="00A974E6" w:rsidP="00AA28BC">
      <w:pPr>
        <w:bidi/>
        <w:spacing w:after="120"/>
        <w:ind w:left="283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A974E6" w:rsidRPr="00AA28BC" w:rsidRDefault="00A974E6" w:rsidP="00AA28BC">
      <w:pPr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A974E6" w:rsidRPr="00AA28BC" w:rsidRDefault="00A974E6" w:rsidP="00AA28BC">
      <w:pPr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A28B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المصادر و المراجع المعتمدة :</w:t>
      </w:r>
    </w:p>
    <w:p w:rsidR="00555924" w:rsidRPr="00AA28BC" w:rsidRDefault="00555924" w:rsidP="00AA28BC">
      <w:pPr>
        <w:bidi/>
        <w:spacing w:after="120"/>
        <w:jc w:val="both"/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</w:pPr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- محمد بن عميرة، منهجية البحث التاريخي، دار هومه للطباعة والنشر والتوزيع، الجزائر، 2012.</w:t>
      </w:r>
    </w:p>
    <w:p w:rsidR="00A974E6" w:rsidRPr="00AA28BC" w:rsidRDefault="009E2A3E" w:rsidP="00AA28BC">
      <w:pPr>
        <w:bidi/>
        <w:spacing w:after="120"/>
        <w:jc w:val="both"/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</w:pPr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 xml:space="preserve">- ناصر الدين </w:t>
      </w:r>
      <w:proofErr w:type="spellStart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سعيدوني</w:t>
      </w:r>
      <w:proofErr w:type="spellEnd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، "</w:t>
      </w:r>
      <w:r w:rsidRPr="00AA28BC">
        <w:rPr>
          <w:rFonts w:ascii="Sakkal Majalla" w:hAnsi="Sakkal Majalla" w:cs="Sakkal Majalla"/>
          <w:b/>
          <w:bCs/>
          <w:noProof w:val="0"/>
          <w:sz w:val="28"/>
          <w:szCs w:val="28"/>
          <w:rtl/>
          <w:lang w:bidi="ar-DZ"/>
        </w:rPr>
        <w:t>المصادر المحلية لتاريخ مدينة الجزائر 'الفترة العثمانية'</w:t>
      </w:r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"، في: ورقات جزائرية</w:t>
      </w:r>
      <w:proofErr w:type="gramStart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، :</w:t>
      </w:r>
      <w:proofErr w:type="gramEnd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 xml:space="preserve"> دراسات وأبحاث في تاريخ الجزائر في العهد العثماني، ط. 1، دار الغرب الإسلامي، بيروت، 2000. ص </w:t>
      </w:r>
      <w:proofErr w:type="spellStart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ص</w:t>
      </w:r>
      <w:proofErr w:type="spellEnd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. 91-113.</w:t>
      </w:r>
    </w:p>
    <w:p w:rsidR="00173E2A" w:rsidRPr="00AA28BC" w:rsidRDefault="00173E2A" w:rsidP="00AA28BC">
      <w:pPr>
        <w:bidi/>
        <w:spacing w:after="120"/>
        <w:jc w:val="both"/>
        <w:rPr>
          <w:rFonts w:ascii="Sakkal Majalla" w:hAnsi="Sakkal Majalla" w:cs="Sakkal Majalla"/>
          <w:noProof w:val="0"/>
          <w:spacing w:val="-2"/>
          <w:sz w:val="28"/>
          <w:szCs w:val="28"/>
          <w:rtl/>
          <w:lang w:bidi="ar-DZ"/>
        </w:rPr>
      </w:pPr>
      <w:r w:rsidRPr="00AA28BC">
        <w:rPr>
          <w:rFonts w:ascii="Sakkal Majalla" w:hAnsi="Sakkal Majalla" w:cs="Sakkal Majalla"/>
          <w:noProof w:val="0"/>
          <w:spacing w:val="-2"/>
          <w:sz w:val="28"/>
          <w:szCs w:val="28"/>
          <w:rtl/>
          <w:lang w:bidi="ar-DZ"/>
        </w:rPr>
        <w:t>- واضح مداني، "</w:t>
      </w:r>
      <w:r w:rsidRPr="00AA28BC">
        <w:rPr>
          <w:rFonts w:ascii="Sakkal Majalla" w:hAnsi="Sakkal Majalla" w:cs="Sakkal Majalla"/>
          <w:b/>
          <w:bCs/>
          <w:noProof w:val="0"/>
          <w:spacing w:val="-2"/>
          <w:sz w:val="28"/>
          <w:szCs w:val="28"/>
          <w:rtl/>
          <w:lang w:bidi="ar-DZ"/>
        </w:rPr>
        <w:t>أهمية المصادر التاريخية عند المؤرخ</w:t>
      </w:r>
      <w:r w:rsidRPr="00AA28BC">
        <w:rPr>
          <w:rFonts w:ascii="Sakkal Majalla" w:hAnsi="Sakkal Majalla" w:cs="Sakkal Majalla"/>
          <w:noProof w:val="0"/>
          <w:spacing w:val="-2"/>
          <w:sz w:val="28"/>
          <w:szCs w:val="28"/>
          <w:rtl/>
          <w:lang w:bidi="ar-DZ"/>
        </w:rPr>
        <w:t xml:space="preserve">"، في: مجلة القرطاس، ع. 10، نوفمبر 2018، ص </w:t>
      </w:r>
      <w:proofErr w:type="spellStart"/>
      <w:r w:rsidRPr="00AA28BC">
        <w:rPr>
          <w:rFonts w:ascii="Sakkal Majalla" w:hAnsi="Sakkal Majalla" w:cs="Sakkal Majalla"/>
          <w:noProof w:val="0"/>
          <w:spacing w:val="-2"/>
          <w:sz w:val="28"/>
          <w:szCs w:val="28"/>
          <w:rtl/>
          <w:lang w:bidi="ar-DZ"/>
        </w:rPr>
        <w:t>ص</w:t>
      </w:r>
      <w:proofErr w:type="spellEnd"/>
      <w:r w:rsidRPr="00AA28BC">
        <w:rPr>
          <w:rFonts w:ascii="Sakkal Majalla" w:hAnsi="Sakkal Majalla" w:cs="Sakkal Majalla"/>
          <w:noProof w:val="0"/>
          <w:spacing w:val="-2"/>
          <w:sz w:val="28"/>
          <w:szCs w:val="28"/>
          <w:rtl/>
          <w:lang w:bidi="ar-DZ"/>
        </w:rPr>
        <w:t>. 149-159.</w:t>
      </w:r>
    </w:p>
    <w:p w:rsidR="00173E2A" w:rsidRPr="00AA28BC" w:rsidRDefault="00173E2A" w:rsidP="00AA28BC">
      <w:pPr>
        <w:bidi/>
        <w:spacing w:after="120"/>
        <w:jc w:val="both"/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</w:pPr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 xml:space="preserve">- محمد </w:t>
      </w:r>
      <w:proofErr w:type="spellStart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بوشنافي</w:t>
      </w:r>
      <w:proofErr w:type="spellEnd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، "</w:t>
      </w:r>
      <w:r w:rsidRPr="00AA28BC">
        <w:rPr>
          <w:rFonts w:ascii="Sakkal Majalla" w:hAnsi="Sakkal Majalla" w:cs="Sakkal Majalla"/>
          <w:b/>
          <w:bCs/>
          <w:noProof w:val="0"/>
          <w:sz w:val="28"/>
          <w:szCs w:val="28"/>
          <w:rtl/>
          <w:lang w:bidi="ar-DZ"/>
        </w:rPr>
        <w:t>الوثائق العثمانية وأهميتها في كتابة تاريخ الجزائر أثناء العهد العثماني</w:t>
      </w:r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 xml:space="preserve">"، في: مجلة المواقف للبحوث والدراسات في المجتمع والتاريخ، ع. 9، ديسمبر 2014، ص </w:t>
      </w:r>
      <w:proofErr w:type="spellStart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ص</w:t>
      </w:r>
      <w:proofErr w:type="spellEnd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. 295-302.</w:t>
      </w:r>
    </w:p>
    <w:p w:rsidR="00555924" w:rsidRPr="00AA28BC" w:rsidRDefault="00555924" w:rsidP="00AA28BC">
      <w:pPr>
        <w:bidi/>
        <w:spacing w:after="120"/>
        <w:jc w:val="both"/>
        <w:rPr>
          <w:rFonts w:ascii="Sakkal Majalla" w:hAnsi="Sakkal Majalla" w:cs="Sakkal Majalla"/>
          <w:noProof w:val="0"/>
          <w:sz w:val="28"/>
          <w:szCs w:val="28"/>
          <w:lang w:bidi="ar-DZ"/>
        </w:rPr>
      </w:pPr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 xml:space="preserve">- منصورية قدور، "النقد التاريخي وأهميته في إبراز الحقيقة التاريخية"، في: مجلة الرواق للدراسات الاجتماعية والإنسانية، مج. 7، ع. 1، 20121، ص </w:t>
      </w:r>
      <w:proofErr w:type="spellStart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ص</w:t>
      </w:r>
      <w:proofErr w:type="spellEnd"/>
      <w:r w:rsidRPr="00AA28BC">
        <w:rPr>
          <w:rFonts w:ascii="Sakkal Majalla" w:hAnsi="Sakkal Majalla" w:cs="Sakkal Majalla"/>
          <w:noProof w:val="0"/>
          <w:sz w:val="28"/>
          <w:szCs w:val="28"/>
          <w:rtl/>
          <w:lang w:bidi="ar-DZ"/>
        </w:rPr>
        <w:t>. 517-533.</w:t>
      </w:r>
    </w:p>
    <w:p w:rsidR="00A974E6" w:rsidRPr="00AA28BC" w:rsidRDefault="00A974E6" w:rsidP="00AA28BC">
      <w:pPr>
        <w:bidi/>
        <w:spacing w:after="120"/>
        <w:ind w:left="283"/>
        <w:jc w:val="both"/>
        <w:rPr>
          <w:rFonts w:ascii="Sakkal Majalla" w:hAnsi="Sakkal Majalla" w:cs="Sakkal Majalla"/>
          <w:sz w:val="32"/>
          <w:szCs w:val="32"/>
          <w:rtl/>
        </w:rPr>
      </w:pPr>
    </w:p>
    <w:sectPr w:rsidR="00A974E6" w:rsidRPr="00AA28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3B" w:rsidRDefault="00FA603B" w:rsidP="00E45616">
      <w:pPr>
        <w:spacing w:after="0" w:line="240" w:lineRule="auto"/>
      </w:pPr>
      <w:r>
        <w:separator/>
      </w:r>
    </w:p>
  </w:endnote>
  <w:endnote w:type="continuationSeparator" w:id="0">
    <w:p w:rsidR="00FA603B" w:rsidRDefault="00FA603B" w:rsidP="00E4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3B" w:rsidRDefault="00FA603B" w:rsidP="00E45616">
      <w:pPr>
        <w:spacing w:after="0" w:line="240" w:lineRule="auto"/>
      </w:pPr>
      <w:r>
        <w:separator/>
      </w:r>
    </w:p>
  </w:footnote>
  <w:footnote w:type="continuationSeparator" w:id="0">
    <w:p w:rsidR="00FA603B" w:rsidRDefault="00FA603B" w:rsidP="00E4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4E6" w:rsidRDefault="00A974E6" w:rsidP="0004615E">
    <w:pPr>
      <w:pStyle w:val="En-tte"/>
    </w:pPr>
    <w:r>
      <w:rPr>
        <w:rFonts w:hint="cs"/>
        <w:rtl/>
        <w:lang w:bidi="ar-DZ"/>
      </w:rPr>
      <w:t>مصادر تاريخ الجزائر الحديث                                                                             السنة الجامعية 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C50"/>
    <w:multiLevelType w:val="hybridMultilevel"/>
    <w:tmpl w:val="3A2E6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57FB2"/>
    <w:multiLevelType w:val="hybridMultilevel"/>
    <w:tmpl w:val="7BCA9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F5"/>
    <w:rsid w:val="0004615E"/>
    <w:rsid w:val="00173E2A"/>
    <w:rsid w:val="00260264"/>
    <w:rsid w:val="00555924"/>
    <w:rsid w:val="009838F5"/>
    <w:rsid w:val="009E2A3E"/>
    <w:rsid w:val="00A974E6"/>
    <w:rsid w:val="00AA28BC"/>
    <w:rsid w:val="00E45616"/>
    <w:rsid w:val="00F72600"/>
    <w:rsid w:val="00F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A371"/>
  <w15:chartTrackingRefBased/>
  <w15:docId w15:val="{224D9CC5-D7EA-4F7C-9C97-E1E547EB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F5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8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5616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E4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561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5</cp:revision>
  <dcterms:created xsi:type="dcterms:W3CDTF">2021-03-08T21:59:00Z</dcterms:created>
  <dcterms:modified xsi:type="dcterms:W3CDTF">2023-11-19T20:38:00Z</dcterms:modified>
</cp:coreProperties>
</file>