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02D" w:rsidRPr="00D32C7E" w:rsidRDefault="007F6BBC" w:rsidP="00B145D8">
      <w:pPr>
        <w:jc w:val="center"/>
        <w:rPr>
          <w:rFonts w:asciiTheme="majorBidi" w:hAnsiTheme="majorBidi" w:cstheme="majorBidi"/>
          <w:b/>
          <w:bCs/>
          <w:sz w:val="28"/>
          <w:szCs w:val="28"/>
        </w:rPr>
      </w:pPr>
      <w:r w:rsidRPr="00D32C7E">
        <w:rPr>
          <w:rFonts w:asciiTheme="majorBidi" w:hAnsiTheme="majorBidi" w:cstheme="majorBidi"/>
          <w:b/>
          <w:bCs/>
          <w:sz w:val="28"/>
          <w:szCs w:val="28"/>
        </w:rPr>
        <w:t>Chapitre IV :</w:t>
      </w:r>
      <w:r w:rsidR="00FA619C" w:rsidRPr="00D32C7E">
        <w:rPr>
          <w:rFonts w:asciiTheme="majorBidi" w:hAnsiTheme="majorBidi" w:cstheme="majorBidi"/>
          <w:b/>
          <w:bCs/>
          <w:sz w:val="28"/>
          <w:szCs w:val="28"/>
        </w:rPr>
        <w:t xml:space="preserve"> Formes des médicament</w:t>
      </w:r>
      <w:r w:rsidR="00B145D8">
        <w:rPr>
          <w:rFonts w:asciiTheme="majorBidi" w:hAnsiTheme="majorBidi" w:cstheme="majorBidi"/>
          <w:b/>
          <w:bCs/>
          <w:sz w:val="28"/>
          <w:szCs w:val="28"/>
        </w:rPr>
        <w:t>s</w:t>
      </w:r>
      <w:r w:rsidR="00FA619C" w:rsidRPr="00D32C7E">
        <w:rPr>
          <w:rFonts w:asciiTheme="majorBidi" w:hAnsiTheme="majorBidi" w:cstheme="majorBidi"/>
          <w:b/>
          <w:bCs/>
          <w:sz w:val="28"/>
          <w:szCs w:val="28"/>
        </w:rPr>
        <w:t xml:space="preserve"> liquides</w:t>
      </w:r>
    </w:p>
    <w:p w:rsidR="00214859" w:rsidRPr="00D32C7E" w:rsidRDefault="00D76599" w:rsidP="00B0127C">
      <w:pPr>
        <w:jc w:val="center"/>
        <w:rPr>
          <w:rFonts w:asciiTheme="majorBidi" w:hAnsiTheme="majorBidi" w:cstheme="majorBidi"/>
          <w:b/>
          <w:bCs/>
          <w:sz w:val="28"/>
          <w:szCs w:val="28"/>
        </w:rPr>
      </w:pPr>
      <w:r w:rsidRPr="00D32C7E">
        <w:rPr>
          <w:rFonts w:asciiTheme="majorBidi" w:hAnsiTheme="majorBidi" w:cstheme="majorBidi"/>
          <w:b/>
          <w:bCs/>
          <w:sz w:val="28"/>
          <w:szCs w:val="28"/>
        </w:rPr>
        <w:t xml:space="preserve"> (</w:t>
      </w:r>
      <w:r w:rsidR="00F270D5" w:rsidRPr="00D32C7E">
        <w:rPr>
          <w:rFonts w:asciiTheme="majorBidi" w:hAnsiTheme="majorBidi" w:cstheme="majorBidi"/>
          <w:b/>
          <w:bCs/>
          <w:sz w:val="28"/>
          <w:szCs w:val="28"/>
        </w:rPr>
        <w:t>Solution</w:t>
      </w:r>
      <w:r w:rsidRPr="00D32C7E">
        <w:rPr>
          <w:rFonts w:asciiTheme="majorBidi" w:hAnsiTheme="majorBidi" w:cstheme="majorBidi"/>
          <w:b/>
          <w:bCs/>
          <w:sz w:val="28"/>
          <w:szCs w:val="28"/>
        </w:rPr>
        <w:t xml:space="preserve"> injectables et collyres)</w:t>
      </w:r>
      <w:r w:rsidR="00FA619C" w:rsidRPr="00D32C7E">
        <w:rPr>
          <w:rFonts w:asciiTheme="majorBidi" w:hAnsiTheme="majorBidi" w:cstheme="majorBidi"/>
          <w:b/>
          <w:bCs/>
          <w:sz w:val="28"/>
          <w:szCs w:val="28"/>
        </w:rPr>
        <w:t>.</w:t>
      </w:r>
    </w:p>
    <w:p w:rsidR="00F270D5" w:rsidRPr="00D32C7E" w:rsidRDefault="00F270D5" w:rsidP="00F270D5">
      <w:pPr>
        <w:spacing w:line="360" w:lineRule="auto"/>
        <w:rPr>
          <w:rFonts w:asciiTheme="majorBidi" w:hAnsiTheme="majorBidi" w:cstheme="majorBidi"/>
          <w:b/>
          <w:bCs/>
          <w:sz w:val="24"/>
          <w:szCs w:val="24"/>
        </w:rPr>
      </w:pPr>
      <w:r w:rsidRPr="00D32C7E">
        <w:rPr>
          <w:rFonts w:asciiTheme="majorBidi" w:hAnsiTheme="majorBidi" w:cstheme="majorBidi"/>
          <w:b/>
          <w:bCs/>
          <w:sz w:val="24"/>
          <w:szCs w:val="24"/>
        </w:rPr>
        <w:t>Objectifs d'apprentissage</w:t>
      </w:r>
    </w:p>
    <w:p w:rsidR="00214859" w:rsidRPr="00D32C7E" w:rsidRDefault="00214859" w:rsidP="002A03D5">
      <w:pPr>
        <w:jc w:val="both"/>
        <w:rPr>
          <w:rFonts w:asciiTheme="majorBidi" w:hAnsiTheme="majorBidi" w:cstheme="majorBidi"/>
          <w:sz w:val="24"/>
          <w:szCs w:val="24"/>
        </w:rPr>
      </w:pPr>
      <w:r w:rsidRPr="00D32C7E">
        <w:rPr>
          <w:rFonts w:asciiTheme="majorBidi" w:hAnsiTheme="majorBidi" w:cstheme="majorBidi"/>
          <w:sz w:val="24"/>
          <w:szCs w:val="24"/>
        </w:rPr>
        <w:t>À la fin de ce chapitre, l'étud</w:t>
      </w:r>
      <w:r w:rsidR="00914547" w:rsidRPr="00D32C7E">
        <w:rPr>
          <w:rFonts w:asciiTheme="majorBidi" w:hAnsiTheme="majorBidi" w:cstheme="majorBidi"/>
          <w:sz w:val="24"/>
          <w:szCs w:val="24"/>
        </w:rPr>
        <w:t>iant devrait être en mesure de </w:t>
      </w:r>
    </w:p>
    <w:p w:rsidR="00214859" w:rsidRPr="00D32C7E" w:rsidRDefault="00214859" w:rsidP="00D2702D">
      <w:pPr>
        <w:pStyle w:val="Paragraphedeliste"/>
        <w:numPr>
          <w:ilvl w:val="0"/>
          <w:numId w:val="13"/>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Identifier les attributs de qualité clés des solutions injectables</w:t>
      </w:r>
    </w:p>
    <w:p w:rsidR="00522C52" w:rsidRPr="00D32C7E" w:rsidRDefault="00522C52" w:rsidP="00D2702D">
      <w:pPr>
        <w:pStyle w:val="Paragraphedeliste"/>
        <w:numPr>
          <w:ilvl w:val="0"/>
          <w:numId w:val="13"/>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Décrire les différents excipients utilisés dans les formulations parentérales</w:t>
      </w:r>
    </w:p>
    <w:p w:rsidR="00214859" w:rsidRPr="00D32C7E" w:rsidRDefault="00214859" w:rsidP="00D2702D">
      <w:pPr>
        <w:pStyle w:val="Paragraphedeliste"/>
        <w:numPr>
          <w:ilvl w:val="0"/>
          <w:numId w:val="13"/>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Définir la stérilisation et décrire les méthodes de stérilisation des produits injectables.</w:t>
      </w:r>
    </w:p>
    <w:p w:rsidR="00214859" w:rsidRPr="00D32C7E" w:rsidRDefault="00214859" w:rsidP="00D2702D">
      <w:pPr>
        <w:pStyle w:val="Paragraphedeliste"/>
        <w:numPr>
          <w:ilvl w:val="0"/>
          <w:numId w:val="13"/>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Identifier les attributs de qualité clés des collyres.</w:t>
      </w:r>
    </w:p>
    <w:p w:rsidR="00E90421" w:rsidRPr="00D32C7E" w:rsidRDefault="00D2702D" w:rsidP="00D2702D">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IV.1. </w:t>
      </w:r>
      <w:r w:rsidR="00F77724" w:rsidRPr="00D32C7E">
        <w:rPr>
          <w:rFonts w:asciiTheme="majorBidi" w:hAnsiTheme="majorBidi" w:cstheme="majorBidi"/>
          <w:b/>
          <w:bCs/>
          <w:sz w:val="24"/>
          <w:szCs w:val="24"/>
        </w:rPr>
        <w:t>Introduction</w:t>
      </w:r>
    </w:p>
    <w:p w:rsidR="00B34BA8" w:rsidRPr="00D32C7E" w:rsidRDefault="00FD0040"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Une forme pharmaceutique à base de solution est définie comme une préparation liquide qui consiste en un soluté, tel qu'un médicament ou un excipient, dissous dans un solvant pour former une solution moléculaire homogène, monophasée. Le solvant est typiquement à base aqueuse et peut également comprendre un co-solvant organique, en fonction des propriétés physico-chimiques du médicament. </w:t>
      </w:r>
    </w:p>
    <w:p w:rsidR="00D34261" w:rsidRPr="00D32C7E" w:rsidRDefault="00FD0040" w:rsidP="00B145D8">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formes galéniques à base de solution sont utilisées dans presque toutes les voies administration, y compris ; orale, parentéral (par exemple, in</w:t>
      </w:r>
      <w:r w:rsidR="009971DB">
        <w:rPr>
          <w:rFonts w:asciiTheme="majorBidi" w:hAnsiTheme="majorBidi" w:cstheme="majorBidi"/>
          <w:sz w:val="24"/>
          <w:szCs w:val="24"/>
        </w:rPr>
        <w:t>jectable), ophtalmique, nasal, p</w:t>
      </w:r>
      <w:r w:rsidRPr="00D32C7E">
        <w:rPr>
          <w:rFonts w:asciiTheme="majorBidi" w:hAnsiTheme="majorBidi" w:cstheme="majorBidi"/>
          <w:sz w:val="24"/>
          <w:szCs w:val="24"/>
        </w:rPr>
        <w:t xml:space="preserve">ulmonaire et transdermique. </w:t>
      </w:r>
      <w:r w:rsidR="00D34261" w:rsidRPr="00D32C7E">
        <w:rPr>
          <w:rFonts w:asciiTheme="majorBidi" w:hAnsiTheme="majorBidi" w:cstheme="majorBidi"/>
          <w:sz w:val="24"/>
          <w:szCs w:val="24"/>
        </w:rPr>
        <w:t>Dans ce chapitre, le processus de fabrication de la solution injectable et du collyre est présenté. De plus, les propriétés de ces préparations liquides sont discutées.</w:t>
      </w:r>
    </w:p>
    <w:p w:rsidR="001B776C" w:rsidRPr="00D32C7E" w:rsidRDefault="00D2702D" w:rsidP="00D2702D">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 </w:t>
      </w:r>
      <w:r w:rsidR="00E90421" w:rsidRPr="00D32C7E">
        <w:rPr>
          <w:rFonts w:asciiTheme="majorBidi" w:hAnsiTheme="majorBidi" w:cstheme="majorBidi"/>
          <w:b/>
          <w:bCs/>
          <w:sz w:val="24"/>
          <w:szCs w:val="24"/>
        </w:rPr>
        <w:t>Préparations parentérales</w:t>
      </w:r>
    </w:p>
    <w:p w:rsidR="00F77724" w:rsidRPr="00D32C7E" w:rsidRDefault="00F77724" w:rsidP="00D93F0F">
      <w:pPr>
        <w:spacing w:line="360" w:lineRule="auto"/>
        <w:jc w:val="both"/>
        <w:rPr>
          <w:rFonts w:asciiTheme="majorBidi" w:hAnsiTheme="majorBidi" w:cstheme="majorBidi"/>
          <w:b/>
          <w:bCs/>
          <w:sz w:val="24"/>
          <w:szCs w:val="24"/>
        </w:rPr>
      </w:pPr>
      <w:r w:rsidRPr="00D32C7E">
        <w:rPr>
          <w:rFonts w:asciiTheme="majorBidi" w:hAnsiTheme="majorBidi" w:cstheme="majorBidi"/>
          <w:sz w:val="24"/>
          <w:szCs w:val="24"/>
        </w:rPr>
        <w:t>Les préparations parentérales sont les formes pharmaceutiques destinées à être administrées par une voie qui n'implique pas le tractus gastro-intestinal (donc, parentéral). La plupart des produits médicamenteux parentéraux sont des formes galéniques injectables, c'est-à-dire destinées à une administration par injection à l'aide d'une seringue et d'une aiguille. Les formes galéniques parentérales sont préférées pour une ou plusieurs des raisons suivantes:</w:t>
      </w:r>
    </w:p>
    <w:p w:rsidR="00F77724" w:rsidRPr="00D32C7E" w:rsidRDefault="00F7772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Faible biodisponibilité orale et / ou forte variabilité de l'absorption orale du médicament.</w:t>
      </w:r>
    </w:p>
    <w:p w:rsidR="00F77724" w:rsidRPr="00D32C7E" w:rsidRDefault="00B90F7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w:t>
      </w:r>
      <w:r w:rsidR="00F77724" w:rsidRPr="00D32C7E">
        <w:rPr>
          <w:rFonts w:asciiTheme="majorBidi" w:hAnsiTheme="majorBidi" w:cstheme="majorBidi"/>
          <w:sz w:val="24"/>
          <w:szCs w:val="24"/>
        </w:rPr>
        <w:t>Instabilité du médicament dans le tractus gastro-intestinal. Par exemple, la plupart des médicaments protéiques sont très instables.</w:t>
      </w:r>
    </w:p>
    <w:p w:rsidR="00F77724" w:rsidRPr="00D32C7E" w:rsidRDefault="00F7772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 Une action médicamenteuse rapide est souhaitée.</w:t>
      </w:r>
    </w:p>
    <w:p w:rsidR="00F77724" w:rsidRPr="00D32C7E" w:rsidRDefault="00F7772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Une grande flexibilité dans l'ajustement de la posologie avec ou sans réponse physiologique du patient en temps réel est nécessaire. Par exemple, les analgésiques, les médicaments anticancéreux et les médicaments contre la fertilité.</w:t>
      </w:r>
    </w:p>
    <w:p w:rsidR="00F77724" w:rsidRPr="00D32C7E" w:rsidRDefault="00B90F72" w:rsidP="00D93F0F">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IV.2.1. </w:t>
      </w:r>
      <w:r w:rsidR="00F77724" w:rsidRPr="00D32C7E">
        <w:rPr>
          <w:rFonts w:asciiTheme="majorBidi" w:hAnsiTheme="majorBidi" w:cstheme="majorBidi"/>
          <w:b/>
          <w:bCs/>
          <w:sz w:val="24"/>
          <w:szCs w:val="24"/>
        </w:rPr>
        <w:t>Propriétés des préparations parentérales</w:t>
      </w:r>
    </w:p>
    <w:p w:rsidR="00F77724" w:rsidRPr="00D32C7E" w:rsidRDefault="00F7772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préparations parentérales devant être au contact des liquides de l’organisme, doivent posséder certaines propriétés.  Elles doivent être : limpides,</w:t>
      </w:r>
      <w:r w:rsidR="009971DB">
        <w:rPr>
          <w:rFonts w:asciiTheme="majorBidi" w:hAnsiTheme="majorBidi" w:cstheme="majorBidi"/>
          <w:sz w:val="24"/>
          <w:szCs w:val="24"/>
        </w:rPr>
        <w:t xml:space="preserve"> neutres, isotoniques, stériles</w:t>
      </w:r>
      <w:r w:rsidRPr="00D32C7E">
        <w:rPr>
          <w:rFonts w:asciiTheme="majorBidi" w:hAnsiTheme="majorBidi" w:cstheme="majorBidi"/>
          <w:sz w:val="24"/>
          <w:szCs w:val="24"/>
        </w:rPr>
        <w:t xml:space="preserve"> </w:t>
      </w:r>
      <w:r w:rsidR="009971DB">
        <w:rPr>
          <w:rFonts w:asciiTheme="majorBidi" w:hAnsiTheme="majorBidi" w:cstheme="majorBidi"/>
          <w:sz w:val="24"/>
          <w:szCs w:val="24"/>
        </w:rPr>
        <w:t xml:space="preserve">et </w:t>
      </w:r>
      <w:r w:rsidRPr="00D32C7E">
        <w:rPr>
          <w:rFonts w:asciiTheme="majorBidi" w:hAnsiTheme="majorBidi" w:cstheme="majorBidi"/>
          <w:sz w:val="24"/>
          <w:szCs w:val="24"/>
        </w:rPr>
        <w:t>apyrogènes</w:t>
      </w:r>
      <w:r w:rsidR="009971DB">
        <w:rPr>
          <w:rFonts w:asciiTheme="majorBidi" w:hAnsiTheme="majorBidi" w:cstheme="majorBidi"/>
          <w:sz w:val="24"/>
          <w:szCs w:val="24"/>
        </w:rPr>
        <w:t>.</w:t>
      </w:r>
    </w:p>
    <w:p w:rsidR="00FD0040" w:rsidRPr="00D32C7E" w:rsidRDefault="00B90F72" w:rsidP="00D93F0F">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IV.2.1.1 </w:t>
      </w:r>
      <w:r w:rsidR="00FD0040" w:rsidRPr="00D32C7E">
        <w:rPr>
          <w:rFonts w:asciiTheme="majorBidi" w:hAnsiTheme="majorBidi" w:cstheme="majorBidi"/>
          <w:b/>
          <w:bCs/>
          <w:sz w:val="24"/>
          <w:szCs w:val="24"/>
        </w:rPr>
        <w:t>Limpides</w:t>
      </w:r>
    </w:p>
    <w:p w:rsidR="0061439F" w:rsidRPr="00D32C7E" w:rsidRDefault="00FD0040"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solutions parentérales sont soigneusement inspectées pour détecter la présence de particules étrangères, telles que le verre, les fibres, les précipités et tout matériau flottant, par microscopie, imagerie vidéo, inspection visuelle et / ou compteurs de particules. </w:t>
      </w:r>
    </w:p>
    <w:p w:rsidR="00F77724" w:rsidRPr="00D32C7E" w:rsidRDefault="00FD0040"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sources de particules comprennent les matières premières, les équipements de traitement et de remplissage, le conteneur et la contamination environnementale. Tous les échantillons de produits parentéraux trouvés contenant des particules sont jetés. Si la quantité et le type de rejet dépassent un seuil de qualité prédéterminé, une enquête est lancée pour déterminer et éliminer la cause de la particule.</w:t>
      </w:r>
    </w:p>
    <w:p w:rsidR="00FD0040" w:rsidRPr="00D32C7E" w:rsidRDefault="00B90F72" w:rsidP="00B90F72">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IV.2.1.2 Neutres </w:t>
      </w:r>
    </w:p>
    <w:p w:rsidR="00D34261" w:rsidRPr="00D32C7E" w:rsidRDefault="00D34261"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 pH des injectables doit être étudié pour obtenir la stabilité, la solubilité et la compatibilité tissulaire du médicament. Souvent, les produits injectables sont formulés à un pH proche du pH physiologique (pH 7,4), bien que de petites doses volumiques soient moins strictes dans le pH requis de la formulation. L'administration d'une formulation qui n'est pas proche du pH physiologique peut entraîner une irritation, une douleur et une phlébite (inflammation de la veine). Pour maintenir le pH prévu du produit tout au long de sa durée de conservation, des systèmes tampons sont souvent ajoutés aux produits parentéraux. La concentration du tampon et / ou la force du tampon doivent être maintenues à une concentration suffisamment basse pour ne pas modifier le pH du sang ou provoquer une irritation des tissus.</w:t>
      </w:r>
    </w:p>
    <w:p w:rsidR="00D34261" w:rsidRPr="00D32C7E" w:rsidRDefault="00D34261"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Lorsqu’il est nécessaire d’ajuster le pH, deux cas sont à envisager : </w:t>
      </w:r>
    </w:p>
    <w:p w:rsidR="00D34261" w:rsidRPr="00D32C7E" w:rsidRDefault="00D34261" w:rsidP="00B145D8">
      <w:pPr>
        <w:pStyle w:val="Paragraphedeliste"/>
        <w:numPr>
          <w:ilvl w:val="0"/>
          <w:numId w:val="1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 xml:space="preserve">Si la stabilité de la substance active exige un pH non physiologique, il est préférable de ne pas tamponner, le titre sera ajusté au moyen d’HCl ou de NaOH. Si toutefois, il est indispensable de tamponner parce que la zone de pH de stabilité est très étroite on optera pour un mélange tampon à faible pouvoir utilisé en faible concentration. </w:t>
      </w:r>
    </w:p>
    <w:p w:rsidR="00D34261" w:rsidRPr="00D32C7E" w:rsidRDefault="00D34261" w:rsidP="00AF4356">
      <w:pPr>
        <w:pStyle w:val="Paragraphedeliste"/>
        <w:numPr>
          <w:ilvl w:val="0"/>
          <w:numId w:val="1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Si ce compromis n’est pas applicable, on peut présenter la préparation sous forme de poudre sèche stérile à mettre en solution ou en suspension dans un solvant stérile au moment de l’emploi. </w:t>
      </w:r>
    </w:p>
    <w:p w:rsidR="00D34261" w:rsidRPr="00D32C7E" w:rsidRDefault="00D34261" w:rsidP="00AF4356">
      <w:pPr>
        <w:pStyle w:val="Paragraphedeliste"/>
        <w:numPr>
          <w:ilvl w:val="0"/>
          <w:numId w:val="1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Si l’optimum de stabilité du principe actif en solution se trouve dans une zone de pH étroite au voisinage de la neutralité, il y a intérêt à ajuster le pH avec une solution tampon. La compétition entre le système tampon du sang et la substance tampon de la solution sera de courte durée et la douleur éventuellement induite aussi.</w:t>
      </w:r>
    </w:p>
    <w:p w:rsidR="00D34261" w:rsidRPr="00D32C7E" w:rsidRDefault="00B90F72" w:rsidP="00B90F72">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IV.2.1.3 Isotoniques </w:t>
      </w:r>
    </w:p>
    <w:p w:rsidR="00D34261" w:rsidRPr="00D32C7E" w:rsidRDefault="00D34261"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préparations injectables doivent avoir la même pression osmotique que le sang c'est-à-dire la même concentration moléculaire que lui pour que les hématies y soient en équilibre</w:t>
      </w:r>
      <w:r w:rsidR="00DA2742" w:rsidRPr="00D32C7E">
        <w:rPr>
          <w:rFonts w:asciiTheme="majorBidi" w:hAnsiTheme="majorBidi" w:cstheme="majorBidi"/>
          <w:sz w:val="24"/>
          <w:szCs w:val="24"/>
        </w:rPr>
        <w:t>.</w:t>
      </w:r>
    </w:p>
    <w:p w:rsidR="00DA2742" w:rsidRPr="00D32C7E" w:rsidRDefault="00DA274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modificateurs de tonicité, tels que le dextrose, le chlorure de sodium ou le chlorure de potassium, sont couramment utilisés pour obtenir une isotonicité dans une formulation parentérale.</w:t>
      </w:r>
    </w:p>
    <w:p w:rsidR="00DA2742" w:rsidRPr="00D32C7E" w:rsidRDefault="00DA274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 Une </w:t>
      </w:r>
      <w:r w:rsidRPr="00D32C7E">
        <w:rPr>
          <w:rFonts w:asciiTheme="majorBidi" w:hAnsiTheme="majorBidi" w:cstheme="majorBidi"/>
          <w:i/>
          <w:iCs/>
          <w:sz w:val="24"/>
          <w:szCs w:val="24"/>
        </w:rPr>
        <w:t>solution isotonique</w:t>
      </w:r>
      <w:r w:rsidRPr="00D32C7E">
        <w:rPr>
          <w:rFonts w:asciiTheme="majorBidi" w:hAnsiTheme="majorBidi" w:cstheme="majorBidi"/>
          <w:sz w:val="24"/>
          <w:szCs w:val="24"/>
        </w:rPr>
        <w:t xml:space="preserve"> contient une quantité égale de soluté dissous par rapport à la solution dans laquelle elle est introduite c.-à-d.  une pression osmotique proche de celle des fluides corporels. Cela minimise l'inconfort du patient et les dommages aux globules rouges.</w:t>
      </w:r>
    </w:p>
    <w:p w:rsidR="00DA2742" w:rsidRPr="00D32C7E" w:rsidRDefault="00DA274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Habituellement, chez l'homme et la plupart des autres mammifères, la solution isotonique correspond à 0,9</w:t>
      </w:r>
      <w:r w:rsidR="007E64CA" w:rsidRPr="00D32C7E">
        <w:rPr>
          <w:rFonts w:asciiTheme="majorBidi" w:hAnsiTheme="majorBidi" w:cstheme="majorBidi"/>
          <w:sz w:val="24"/>
          <w:szCs w:val="24"/>
        </w:rPr>
        <w:t xml:space="preserve"> </w:t>
      </w:r>
      <w:r w:rsidRPr="00D32C7E">
        <w:rPr>
          <w:rFonts w:asciiTheme="majorBidi" w:hAnsiTheme="majorBidi" w:cstheme="majorBidi"/>
          <w:sz w:val="24"/>
          <w:szCs w:val="24"/>
        </w:rPr>
        <w:t>% p /v de chlorure de sodium ou 5</w:t>
      </w:r>
      <w:r w:rsidR="007E64CA" w:rsidRPr="00D32C7E">
        <w:rPr>
          <w:rFonts w:asciiTheme="majorBidi" w:hAnsiTheme="majorBidi" w:cstheme="majorBidi"/>
          <w:sz w:val="24"/>
          <w:szCs w:val="24"/>
        </w:rPr>
        <w:t xml:space="preserve"> </w:t>
      </w:r>
      <w:r w:rsidRPr="00D32C7E">
        <w:rPr>
          <w:rFonts w:asciiTheme="majorBidi" w:hAnsiTheme="majorBidi" w:cstheme="majorBidi"/>
          <w:sz w:val="24"/>
          <w:szCs w:val="24"/>
        </w:rPr>
        <w:t>% p /v de dextrose.</w:t>
      </w:r>
    </w:p>
    <w:p w:rsidR="00DA2742" w:rsidRPr="00D32C7E" w:rsidRDefault="00DA274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 Une </w:t>
      </w:r>
      <w:r w:rsidRPr="00D32C7E">
        <w:rPr>
          <w:rFonts w:asciiTheme="majorBidi" w:hAnsiTheme="majorBidi" w:cstheme="majorBidi"/>
          <w:i/>
          <w:iCs/>
          <w:sz w:val="24"/>
          <w:szCs w:val="24"/>
        </w:rPr>
        <w:t>solution d'hypertonie</w:t>
      </w:r>
      <w:r w:rsidRPr="00D32C7E">
        <w:rPr>
          <w:rFonts w:asciiTheme="majorBidi" w:hAnsiTheme="majorBidi" w:cstheme="majorBidi"/>
          <w:sz w:val="24"/>
          <w:szCs w:val="24"/>
        </w:rPr>
        <w:t xml:space="preserve"> contient une concentration plus élevée de substances dissoutes que les globules rouges, ce qui provoque la contraction des globules rouges. En revanche, une </w:t>
      </w:r>
      <w:r w:rsidRPr="00D32C7E">
        <w:rPr>
          <w:rFonts w:asciiTheme="majorBidi" w:hAnsiTheme="majorBidi" w:cstheme="majorBidi"/>
          <w:i/>
          <w:iCs/>
          <w:sz w:val="24"/>
          <w:szCs w:val="24"/>
        </w:rPr>
        <w:t>solution hypotonique</w:t>
      </w:r>
      <w:r w:rsidRPr="00D32C7E">
        <w:rPr>
          <w:rFonts w:asciiTheme="majorBidi" w:hAnsiTheme="majorBidi" w:cstheme="majorBidi"/>
          <w:sz w:val="24"/>
          <w:szCs w:val="24"/>
        </w:rPr>
        <w:t xml:space="preserve"> contient une concentration de substances dissoutes plus faible que les globules rouges, ce qui fait gonfler et éventuellement éclater les globules rouges</w:t>
      </w:r>
      <w:r w:rsidR="005C3169" w:rsidRPr="00D32C7E">
        <w:rPr>
          <w:rFonts w:asciiTheme="majorBidi" w:hAnsiTheme="majorBidi" w:cstheme="majorBidi"/>
          <w:sz w:val="24"/>
          <w:szCs w:val="24"/>
        </w:rPr>
        <w:t xml:space="preserve"> (</w:t>
      </w:r>
      <w:r w:rsidR="005C3169" w:rsidRPr="00D32C7E">
        <w:rPr>
          <w:rFonts w:asciiTheme="majorBidi" w:hAnsiTheme="majorBidi" w:cstheme="majorBidi"/>
          <w:b/>
          <w:bCs/>
          <w:sz w:val="24"/>
          <w:szCs w:val="24"/>
        </w:rPr>
        <w:t>Fig IV.1</w:t>
      </w:r>
      <w:r w:rsidR="005C3169" w:rsidRPr="00D32C7E">
        <w:rPr>
          <w:rFonts w:asciiTheme="majorBidi" w:hAnsiTheme="majorBidi" w:cstheme="majorBidi"/>
          <w:sz w:val="24"/>
          <w:szCs w:val="24"/>
        </w:rPr>
        <w:t>)</w:t>
      </w:r>
      <w:r w:rsidRPr="00D32C7E">
        <w:rPr>
          <w:rFonts w:asciiTheme="majorBidi" w:hAnsiTheme="majorBidi" w:cstheme="majorBidi"/>
          <w:sz w:val="24"/>
          <w:szCs w:val="24"/>
        </w:rPr>
        <w:t>.</w:t>
      </w:r>
    </w:p>
    <w:p w:rsidR="00DA2742" w:rsidRPr="00BF0402" w:rsidRDefault="00DA2742" w:rsidP="00BF0402">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Exemple :</w:t>
      </w:r>
      <w:r w:rsidR="00BF0402">
        <w:rPr>
          <w:rFonts w:asciiTheme="majorBidi" w:hAnsiTheme="majorBidi" w:cstheme="majorBidi"/>
          <w:b/>
          <w:bCs/>
          <w:sz w:val="24"/>
          <w:szCs w:val="24"/>
        </w:rPr>
        <w:t xml:space="preserve"> </w:t>
      </w:r>
      <w:r w:rsidRPr="00D32C7E">
        <w:rPr>
          <w:rFonts w:asciiTheme="majorBidi" w:hAnsiTheme="majorBidi" w:cstheme="majorBidi"/>
          <w:sz w:val="24"/>
          <w:szCs w:val="24"/>
        </w:rPr>
        <w:t xml:space="preserve">Un exemple, classique, qui consiste à mettre en contact des hématies et différentes concentrations de NaCl dans l’eau, illustre bien cette nécessité : </w:t>
      </w:r>
    </w:p>
    <w:p w:rsidR="005C3169" w:rsidRPr="00D32C7E" w:rsidRDefault="005C3169" w:rsidP="005C3169">
      <w:pPr>
        <w:spacing w:line="360" w:lineRule="auto"/>
        <w:jc w:val="center"/>
        <w:rPr>
          <w:rFonts w:asciiTheme="majorBidi" w:hAnsiTheme="majorBidi" w:cstheme="majorBidi"/>
          <w:sz w:val="24"/>
          <w:szCs w:val="24"/>
        </w:rPr>
      </w:pPr>
      <w:r w:rsidRPr="00D32C7E">
        <w:rPr>
          <w:rFonts w:asciiTheme="majorBidi" w:hAnsiTheme="majorBidi" w:cstheme="majorBidi"/>
          <w:noProof/>
          <w:sz w:val="24"/>
          <w:szCs w:val="24"/>
        </w:rPr>
        <w:lastRenderedPageBreak/>
        <w:drawing>
          <wp:inline distT="0" distB="0" distL="0" distR="0">
            <wp:extent cx="4184755" cy="2286000"/>
            <wp:effectExtent l="19050" t="0" r="62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7838" t="17722" r="12589" b="5063"/>
                    <a:stretch>
                      <a:fillRect/>
                    </a:stretch>
                  </pic:blipFill>
                  <pic:spPr bwMode="auto">
                    <a:xfrm>
                      <a:off x="0" y="0"/>
                      <a:ext cx="4190397" cy="2289082"/>
                    </a:xfrm>
                    <a:prstGeom prst="rect">
                      <a:avLst/>
                    </a:prstGeom>
                    <a:noFill/>
                  </pic:spPr>
                </pic:pic>
              </a:graphicData>
            </a:graphic>
          </wp:inline>
        </w:drawing>
      </w:r>
    </w:p>
    <w:p w:rsidR="005C3169" w:rsidRPr="00D32C7E" w:rsidRDefault="005C3169" w:rsidP="005C3169">
      <w:pPr>
        <w:spacing w:line="360" w:lineRule="auto"/>
        <w:jc w:val="center"/>
        <w:rPr>
          <w:rFonts w:asciiTheme="majorBidi" w:hAnsiTheme="majorBidi" w:cstheme="majorBidi"/>
          <w:sz w:val="24"/>
          <w:szCs w:val="24"/>
        </w:rPr>
      </w:pPr>
      <w:r w:rsidRPr="00D32C7E">
        <w:rPr>
          <w:rFonts w:asciiTheme="majorBidi" w:hAnsiTheme="majorBidi" w:cstheme="majorBidi"/>
          <w:b/>
          <w:bCs/>
          <w:sz w:val="24"/>
          <w:szCs w:val="24"/>
        </w:rPr>
        <w:t xml:space="preserve">Fig IV.1 </w:t>
      </w:r>
      <w:r w:rsidRPr="00D32C7E">
        <w:rPr>
          <w:rFonts w:asciiTheme="majorBidi" w:hAnsiTheme="majorBidi" w:cstheme="majorBidi"/>
          <w:sz w:val="24"/>
          <w:szCs w:val="24"/>
        </w:rPr>
        <w:t>Variation de volume d’une cellule animale.</w:t>
      </w:r>
    </w:p>
    <w:p w:rsidR="00BF0402" w:rsidRPr="00D32C7E" w:rsidRDefault="00BF0402" w:rsidP="00BF0402">
      <w:pPr>
        <w:pStyle w:val="Paragraphedeliste"/>
        <w:numPr>
          <w:ilvl w:val="0"/>
          <w:numId w:val="1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Solution de NaCl à 9‰ : au contact de cette solution, les hématies ne changent pas de forme ni de volume. On dit que cette concentration est isotonique au plasma. </w:t>
      </w:r>
    </w:p>
    <w:p w:rsidR="00BF0402" w:rsidRPr="00D32C7E" w:rsidRDefault="00BF0402" w:rsidP="00BF0402">
      <w:pPr>
        <w:pStyle w:val="Paragraphedeliste"/>
        <w:numPr>
          <w:ilvl w:val="0"/>
          <w:numId w:val="1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Solution de NaCl à 50‰ : au contact de cette solution, les hématies s’aplatissent, augmentent de diamètre et se recroquevillent. L’eau interne a quitté l’hématie (phénomène de plasmolyse). On dit que cette concentration est hypertonique. </w:t>
      </w:r>
    </w:p>
    <w:p w:rsidR="00BF0402" w:rsidRPr="00BF0402" w:rsidRDefault="00BF0402" w:rsidP="00BF0402">
      <w:pPr>
        <w:pStyle w:val="Paragraphedeliste"/>
        <w:numPr>
          <w:ilvl w:val="0"/>
          <w:numId w:val="1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Solution de NaCl à 4‰ : au contact de cette solution, les hématies augmentent de volume (l’eau de la solution pénètre dans les hématies ; phénomène de turgescence) puis finissent par éclater et libérer leur contenu (hémolyse). On dit que cette concentration est hypotonique.</w:t>
      </w:r>
    </w:p>
    <w:p w:rsidR="00381884" w:rsidRPr="00D32C7E" w:rsidRDefault="0099545E" w:rsidP="0099545E">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IV.2.1.4 </w:t>
      </w:r>
      <w:r w:rsidR="00381884" w:rsidRPr="00D32C7E">
        <w:rPr>
          <w:rFonts w:asciiTheme="majorBidi" w:hAnsiTheme="majorBidi" w:cstheme="majorBidi"/>
          <w:b/>
          <w:bCs/>
          <w:sz w:val="24"/>
          <w:szCs w:val="24"/>
        </w:rPr>
        <w:t>Stériles</w:t>
      </w:r>
    </w:p>
    <w:p w:rsidR="00381884" w:rsidRPr="00D32C7E" w:rsidRDefault="0038188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préparations injectables doivent être préparées dans des conditions qui garantissent leur stérilité : locaux d’une propreté « absolue » (salles stériles, salles blanches), solvant et conditionnement stériles. Ces précautions doivent être suivies d’une méthode de stérilisation adaptée : chaque fois qu’il sera possible, on utilisera la stérilisation à l’autoclave (20 minutes à 120°C).</w:t>
      </w:r>
    </w:p>
    <w:p w:rsidR="00381884" w:rsidRPr="00D32C7E" w:rsidRDefault="0038188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tests de stérilité sont effectués en incubant le produit médicamenteux dans un environnement propice à la croissance microbienne. Un tel environnement propice comprend une température, une humidité et des milieux nutritifs appropriés. La croissance microbienne est surveillée après une période de temps donnée, déterminée par des protocoles standards pour chaque type de microbes.</w:t>
      </w:r>
    </w:p>
    <w:p w:rsidR="00381884" w:rsidRPr="00D32C7E" w:rsidRDefault="0099545E" w:rsidP="0099545E">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 xml:space="preserve">IV.2.1.5 </w:t>
      </w:r>
      <w:r w:rsidR="00381884" w:rsidRPr="00D32C7E">
        <w:rPr>
          <w:rFonts w:asciiTheme="majorBidi" w:hAnsiTheme="majorBidi" w:cstheme="majorBidi"/>
          <w:b/>
          <w:bCs/>
          <w:sz w:val="24"/>
          <w:szCs w:val="24"/>
        </w:rPr>
        <w:t>Apyrogènes</w:t>
      </w:r>
    </w:p>
    <w:p w:rsidR="00381884" w:rsidRPr="00D32C7E" w:rsidRDefault="00381884"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Toutes les préparations parentérales doivent être apyrogènes, c’est-à-dire ne pas renfermer  de  substances  susceptibles  de  provoquer  par  injection  une  brusque élévation de température</w:t>
      </w:r>
      <w:r w:rsidR="004933F1" w:rsidRPr="00D32C7E">
        <w:rPr>
          <w:rFonts w:asciiTheme="majorBidi" w:hAnsiTheme="majorBidi" w:cstheme="majorBidi"/>
          <w:sz w:val="24"/>
          <w:szCs w:val="24"/>
        </w:rPr>
        <w:t>.</w:t>
      </w:r>
    </w:p>
    <w:p w:rsidR="004933F1" w:rsidRPr="00D32C7E" w:rsidRDefault="004933F1" w:rsidP="0099545E">
      <w:pPr>
        <w:pStyle w:val="Paragraphedeliste"/>
        <w:numPr>
          <w:ilvl w:val="0"/>
          <w:numId w:val="14"/>
        </w:numPr>
        <w:spacing w:line="360" w:lineRule="auto"/>
        <w:jc w:val="both"/>
        <w:rPr>
          <w:rFonts w:asciiTheme="majorBidi" w:hAnsiTheme="majorBidi" w:cstheme="majorBidi"/>
          <w:b/>
          <w:bCs/>
          <w:i/>
          <w:iCs/>
          <w:sz w:val="24"/>
          <w:szCs w:val="24"/>
        </w:rPr>
      </w:pPr>
      <w:r w:rsidRPr="00D32C7E">
        <w:rPr>
          <w:rFonts w:asciiTheme="majorBidi" w:hAnsiTheme="majorBidi" w:cstheme="majorBidi"/>
          <w:b/>
          <w:bCs/>
          <w:i/>
          <w:iCs/>
          <w:sz w:val="24"/>
          <w:szCs w:val="24"/>
        </w:rPr>
        <w:t>Origine et nature</w:t>
      </w:r>
    </w:p>
    <w:p w:rsidR="004933F1" w:rsidRPr="00D32C7E" w:rsidRDefault="004933F1"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L'eau est la principale source de pyrogènes. En effet, </w:t>
      </w:r>
      <w:r w:rsidRPr="00B145D8">
        <w:rPr>
          <w:rFonts w:asciiTheme="majorBidi" w:hAnsiTheme="majorBidi" w:cstheme="majorBidi"/>
          <w:i/>
          <w:iCs/>
          <w:sz w:val="24"/>
          <w:szCs w:val="24"/>
        </w:rPr>
        <w:t>Pseudomonas</w:t>
      </w:r>
      <w:r w:rsidRPr="00D32C7E">
        <w:rPr>
          <w:rFonts w:asciiTheme="majorBidi" w:hAnsiTheme="majorBidi" w:cstheme="majorBidi"/>
          <w:sz w:val="24"/>
          <w:szCs w:val="24"/>
        </w:rPr>
        <w:t>, une bactérie à Gram négatif, se développe facilement dans l'eau. Les autres sources d'endotoxines ou de pyrogènes sont les matières premières, les équipements de traitement et la contamination humaine.</w:t>
      </w:r>
    </w:p>
    <w:p w:rsidR="004933F1" w:rsidRPr="00D32C7E" w:rsidRDefault="004933F1" w:rsidP="0099545E">
      <w:pPr>
        <w:pStyle w:val="Paragraphedeliste"/>
        <w:numPr>
          <w:ilvl w:val="0"/>
          <w:numId w:val="14"/>
        </w:numPr>
        <w:spacing w:line="360" w:lineRule="auto"/>
        <w:jc w:val="both"/>
        <w:rPr>
          <w:rFonts w:asciiTheme="majorBidi" w:hAnsiTheme="majorBidi" w:cstheme="majorBidi"/>
          <w:b/>
          <w:bCs/>
          <w:i/>
          <w:iCs/>
          <w:sz w:val="24"/>
          <w:szCs w:val="24"/>
        </w:rPr>
      </w:pPr>
      <w:r w:rsidRPr="00D32C7E">
        <w:rPr>
          <w:rFonts w:asciiTheme="majorBidi" w:hAnsiTheme="majorBidi" w:cstheme="majorBidi"/>
          <w:b/>
          <w:bCs/>
          <w:i/>
          <w:iCs/>
          <w:sz w:val="24"/>
          <w:szCs w:val="24"/>
        </w:rPr>
        <w:t>Procédés d’élimination des pyrogènes</w:t>
      </w:r>
    </w:p>
    <w:p w:rsidR="004933F1" w:rsidRPr="00D32C7E" w:rsidRDefault="004933F1"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endotoxines ne sont pas complètement éliminées par filtration et stérilisation à la vapeur. Les endotoxines peuvent être détruites par la chaleur sèche. Ainsi, lors du mélange d'un produit stérile à partir d'un matériau de départ non stérile qui peut résister à la chaleur de 200°C, il doit être dépyrogéné. Si un article est dépyrogéné, il est également stérile.</w:t>
      </w:r>
    </w:p>
    <w:p w:rsidR="002E7A85" w:rsidRPr="00D32C7E" w:rsidRDefault="002E7A85" w:rsidP="0099545E">
      <w:pPr>
        <w:pStyle w:val="Paragraphedeliste"/>
        <w:numPr>
          <w:ilvl w:val="0"/>
          <w:numId w:val="14"/>
        </w:numPr>
        <w:spacing w:line="360" w:lineRule="auto"/>
        <w:jc w:val="both"/>
        <w:rPr>
          <w:rFonts w:asciiTheme="majorBidi" w:hAnsiTheme="majorBidi" w:cstheme="majorBidi"/>
          <w:b/>
          <w:bCs/>
          <w:i/>
          <w:iCs/>
          <w:sz w:val="24"/>
          <w:szCs w:val="24"/>
        </w:rPr>
      </w:pPr>
      <w:r w:rsidRPr="00D32C7E">
        <w:rPr>
          <w:rFonts w:asciiTheme="majorBidi" w:hAnsiTheme="majorBidi" w:cstheme="majorBidi"/>
          <w:b/>
          <w:bCs/>
          <w:i/>
          <w:iCs/>
          <w:sz w:val="24"/>
          <w:szCs w:val="24"/>
        </w:rPr>
        <w:t>Dete</w:t>
      </w:r>
      <w:r w:rsidR="00151D98">
        <w:rPr>
          <w:rFonts w:asciiTheme="majorBidi" w:hAnsiTheme="majorBidi" w:cstheme="majorBidi"/>
          <w:b/>
          <w:bCs/>
          <w:i/>
          <w:iCs/>
          <w:sz w:val="24"/>
          <w:szCs w:val="24"/>
        </w:rPr>
        <w:t xml:space="preserve">ction des substances pyrogènes </w:t>
      </w:r>
    </w:p>
    <w:p w:rsidR="002E7A85" w:rsidRPr="00D32C7E" w:rsidRDefault="002E7A85" w:rsidP="00B145D8">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Une méthode préférée pour la détection des pyrogènes est le test du limulus amébocyte lysat (LAL). 0,1 ml du soluté est mis en contact</w:t>
      </w:r>
      <w:r w:rsidR="00B145D8">
        <w:rPr>
          <w:rFonts w:asciiTheme="majorBidi" w:hAnsiTheme="majorBidi" w:cstheme="majorBidi"/>
          <w:sz w:val="24"/>
          <w:szCs w:val="24"/>
        </w:rPr>
        <w:t xml:space="preserve"> avec</w:t>
      </w:r>
      <w:r w:rsidRPr="00D32C7E">
        <w:rPr>
          <w:rFonts w:asciiTheme="majorBidi" w:hAnsiTheme="majorBidi" w:cstheme="majorBidi"/>
          <w:sz w:val="24"/>
          <w:szCs w:val="24"/>
        </w:rPr>
        <w:t xml:space="preserve"> 0,1 ml  du lysat de protéines. Une substance pyrogène provoque une gélification.</w:t>
      </w:r>
    </w:p>
    <w:p w:rsidR="001B776C" w:rsidRPr="00D32C7E" w:rsidRDefault="0099545E" w:rsidP="0099545E">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IV.2.2. </w:t>
      </w:r>
      <w:r w:rsidR="001B776C" w:rsidRPr="00D32C7E">
        <w:rPr>
          <w:rFonts w:asciiTheme="majorBidi" w:hAnsiTheme="majorBidi" w:cstheme="majorBidi"/>
          <w:b/>
          <w:bCs/>
          <w:sz w:val="24"/>
          <w:szCs w:val="24"/>
        </w:rPr>
        <w:t>Contrôles</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méthodes de contrôle concernent les propriétés des préparations injectables :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●Limpidité et changement de coloration éventuel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●Neutralité et mesure du pouvoir tampon (pH mètres)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●Isotonie : utilisation d’osmomètres ; méthode par hémolyse et à l’hématocrite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●Stérilité : ensemencement sur milieux de culture appropriés.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●Apyrogènes : méthode de l’élévation de température et coagulation du lysat d’amébocytes </w:t>
      </w:r>
    </w:p>
    <w:p w:rsidR="00697BC2" w:rsidRPr="00D32C7E" w:rsidRDefault="00697BC2" w:rsidP="00D93F0F">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En plus de : </w:t>
      </w:r>
    </w:p>
    <w:p w:rsidR="00697BC2" w:rsidRPr="00D32C7E" w:rsidRDefault="00697BC2" w:rsidP="00BF0402">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w:t>
      </w:r>
      <w:r w:rsidR="00BF0402">
        <w:rPr>
          <w:rFonts w:asciiTheme="majorBidi" w:hAnsiTheme="majorBidi" w:cstheme="majorBidi"/>
          <w:sz w:val="24"/>
          <w:szCs w:val="24"/>
        </w:rPr>
        <w:t>D</w:t>
      </w:r>
      <w:r w:rsidRPr="00D32C7E">
        <w:rPr>
          <w:rFonts w:asciiTheme="majorBidi" w:hAnsiTheme="majorBidi" w:cstheme="majorBidi"/>
          <w:sz w:val="24"/>
          <w:szCs w:val="24"/>
        </w:rPr>
        <w:t xml:space="preserve">osage du principe actif par unité de volume </w:t>
      </w:r>
    </w:p>
    <w:p w:rsidR="00697BC2" w:rsidRPr="00D32C7E" w:rsidRDefault="00697BC2" w:rsidP="00BF0402">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w:t>
      </w:r>
      <w:r w:rsidR="00BF0402">
        <w:rPr>
          <w:rFonts w:asciiTheme="majorBidi" w:hAnsiTheme="majorBidi" w:cstheme="majorBidi"/>
          <w:sz w:val="24"/>
          <w:szCs w:val="24"/>
        </w:rPr>
        <w:t>M</w:t>
      </w:r>
      <w:r w:rsidRPr="00D32C7E">
        <w:rPr>
          <w:rFonts w:asciiTheme="majorBidi" w:hAnsiTheme="majorBidi" w:cstheme="majorBidi"/>
          <w:sz w:val="24"/>
          <w:szCs w:val="24"/>
        </w:rPr>
        <w:t>esure de la taille des globules (émulsions) et des particules (suspensions)</w:t>
      </w:r>
    </w:p>
    <w:p w:rsidR="001B776C" w:rsidRPr="00D32C7E" w:rsidRDefault="0099545E" w:rsidP="00D93F0F">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IV.2.3. </w:t>
      </w:r>
      <w:r w:rsidR="001B776C" w:rsidRPr="00D32C7E">
        <w:rPr>
          <w:rFonts w:asciiTheme="majorBidi" w:hAnsiTheme="majorBidi" w:cstheme="majorBidi"/>
          <w:b/>
          <w:bCs/>
          <w:sz w:val="24"/>
          <w:szCs w:val="24"/>
        </w:rPr>
        <w:t>Fabrication des préparations injectables</w:t>
      </w:r>
    </w:p>
    <w:p w:rsidR="00DA66EE" w:rsidRPr="00D32C7E" w:rsidRDefault="008065E0" w:rsidP="00B145D8">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produits injectables contiennent les principes actifs et des ingrédients inactifs, également appelés excipients ou adjuvants. Les excipients peuvent être des solvants, des cosolvants, des conservateurs, des antioxydants, des tensioactifs, des agents de complexation et des agents chélatants. </w:t>
      </w:r>
      <w:r w:rsidR="00B145D8">
        <w:rPr>
          <w:rFonts w:asciiTheme="majorBidi" w:hAnsiTheme="majorBidi" w:cstheme="majorBidi"/>
          <w:sz w:val="24"/>
          <w:szCs w:val="24"/>
        </w:rPr>
        <w:t xml:space="preserve">Des </w:t>
      </w:r>
      <w:r w:rsidRPr="00D32C7E">
        <w:rPr>
          <w:rFonts w:asciiTheme="majorBidi" w:hAnsiTheme="majorBidi" w:cstheme="majorBidi"/>
          <w:sz w:val="24"/>
          <w:szCs w:val="24"/>
        </w:rPr>
        <w:t xml:space="preserve">exemples d'excipients utilisés dans les formes injectables </w:t>
      </w:r>
      <w:r w:rsidR="00B145D8">
        <w:rPr>
          <w:rFonts w:asciiTheme="majorBidi" w:hAnsiTheme="majorBidi" w:cstheme="majorBidi"/>
          <w:sz w:val="24"/>
          <w:szCs w:val="24"/>
        </w:rPr>
        <w:t>sont rassemblés</w:t>
      </w:r>
      <w:r w:rsidRPr="00D32C7E">
        <w:rPr>
          <w:rFonts w:asciiTheme="majorBidi" w:hAnsiTheme="majorBidi" w:cstheme="majorBidi"/>
          <w:sz w:val="24"/>
          <w:szCs w:val="24"/>
        </w:rPr>
        <w:t xml:space="preserve"> dans le </w:t>
      </w:r>
      <w:r w:rsidR="0099545E" w:rsidRPr="00D32C7E">
        <w:rPr>
          <w:rFonts w:asciiTheme="majorBidi" w:hAnsiTheme="majorBidi" w:cstheme="majorBidi"/>
          <w:b/>
          <w:bCs/>
          <w:sz w:val="24"/>
          <w:szCs w:val="24"/>
        </w:rPr>
        <w:t>T</w:t>
      </w:r>
      <w:r w:rsidRPr="00D32C7E">
        <w:rPr>
          <w:rFonts w:asciiTheme="majorBidi" w:hAnsiTheme="majorBidi" w:cstheme="majorBidi"/>
          <w:b/>
          <w:bCs/>
          <w:sz w:val="24"/>
          <w:szCs w:val="24"/>
        </w:rPr>
        <w:t>ableau</w:t>
      </w:r>
      <w:r w:rsidR="0099545E" w:rsidRPr="00D32C7E">
        <w:rPr>
          <w:rFonts w:asciiTheme="majorBidi" w:hAnsiTheme="majorBidi" w:cstheme="majorBidi"/>
          <w:b/>
          <w:bCs/>
          <w:sz w:val="24"/>
          <w:szCs w:val="24"/>
        </w:rPr>
        <w:t xml:space="preserve"> IV.1</w:t>
      </w:r>
      <w:r w:rsidR="0099545E" w:rsidRPr="00D32C7E">
        <w:rPr>
          <w:rFonts w:asciiTheme="majorBidi" w:hAnsiTheme="majorBidi" w:cstheme="majorBidi"/>
          <w:sz w:val="24"/>
          <w:szCs w:val="24"/>
        </w:rPr>
        <w:t>.</w:t>
      </w:r>
      <w:r w:rsidRPr="00D32C7E">
        <w:rPr>
          <w:rFonts w:asciiTheme="majorBidi" w:hAnsiTheme="majorBidi" w:cstheme="majorBidi"/>
          <w:sz w:val="24"/>
          <w:szCs w:val="24"/>
        </w:rPr>
        <w:t xml:space="preserve"> </w:t>
      </w:r>
    </w:p>
    <w:p w:rsidR="007B0786" w:rsidRPr="00D32C7E" w:rsidRDefault="007B0786" w:rsidP="007B0786">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Des précautions particulières doivent être prises lors de la fabrication des préparations injectables, dispositions plus strictes que pour les autres formes. Ces précautions concernent : les locaux, le per</w:t>
      </w:r>
      <w:r w:rsidR="00E76505">
        <w:rPr>
          <w:rFonts w:asciiTheme="majorBidi" w:hAnsiTheme="majorBidi" w:cstheme="majorBidi"/>
          <w:sz w:val="24"/>
          <w:szCs w:val="24"/>
        </w:rPr>
        <w:t xml:space="preserve">sonnel, les matières premières et </w:t>
      </w:r>
      <w:r w:rsidRPr="00D32C7E">
        <w:rPr>
          <w:rFonts w:asciiTheme="majorBidi" w:hAnsiTheme="majorBidi" w:cstheme="majorBidi"/>
          <w:sz w:val="24"/>
          <w:szCs w:val="24"/>
        </w:rPr>
        <w:t xml:space="preserve">les matériaux de conditionnement. </w:t>
      </w:r>
    </w:p>
    <w:p w:rsidR="007B0786" w:rsidRPr="00D32C7E" w:rsidRDefault="007B0786" w:rsidP="007B0786">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IV.2.3. 1. Les locaux </w:t>
      </w:r>
    </w:p>
    <w:p w:rsidR="007B0786" w:rsidRPr="00D32C7E" w:rsidRDefault="007B0786" w:rsidP="007B0786">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locaux où se pratique la fabrication doivent être stériles. Ce sont des enceintes stériles ou des salles blanches : celles-ci sont des salles stériles dans lesquelles circule un air stérilisé par filtration, possédant une humidité et une température confortables pour les manipulateurs, à flux vertical ou horizontal. Ces salles doivent être en surpression par rapport à l’extérieur. </w:t>
      </w:r>
    </w:p>
    <w:p w:rsidR="007B0786" w:rsidRPr="00D32C7E" w:rsidRDefault="007B0786" w:rsidP="007B0786">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A l’entrée de ces salles, comme à celles des gaines où s’opère la filtration de l’air, sont disposées des baguettes de lumière ultraviolette germicide à titre de précaution supplémentaire. </w:t>
      </w:r>
    </w:p>
    <w:p w:rsidR="007B0786" w:rsidRPr="00D32C7E" w:rsidRDefault="007B0786" w:rsidP="007B0786">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techniciens qui manipulent à l’intérieur de ces salles doivent porter des blouses de protection stériles. Leur tête et leurs chaussures doivent être recouvertes également. </w:t>
      </w:r>
    </w:p>
    <w:p w:rsidR="007B0786" w:rsidRPr="00D32C7E" w:rsidRDefault="007B0786" w:rsidP="007B0786">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IV.2.3. 2. Le personnel </w:t>
      </w:r>
    </w:p>
    <w:p w:rsidR="007B0786" w:rsidRPr="00D32C7E" w:rsidRDefault="007B0786" w:rsidP="007B0786">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personnel doit être correctement formé et on doit s’assurer régulièrement de sa qualification et de sa motivation. Son comportement dans l’atelier, ne doit entrainer aucun risque de contamination pour les produits. </w:t>
      </w:r>
    </w:p>
    <w:p w:rsidR="00B34BA8" w:rsidRDefault="00B34BA8" w:rsidP="002A03D5">
      <w:pPr>
        <w:jc w:val="both"/>
        <w:rPr>
          <w:rFonts w:asciiTheme="majorBidi" w:hAnsiTheme="majorBidi" w:cstheme="majorBidi"/>
          <w:sz w:val="24"/>
          <w:szCs w:val="24"/>
        </w:rPr>
      </w:pPr>
    </w:p>
    <w:p w:rsidR="00BF0402" w:rsidRDefault="00BF0402" w:rsidP="002A03D5">
      <w:pPr>
        <w:jc w:val="both"/>
        <w:rPr>
          <w:rFonts w:asciiTheme="majorBidi" w:hAnsiTheme="majorBidi" w:cstheme="majorBidi"/>
          <w:sz w:val="24"/>
          <w:szCs w:val="24"/>
        </w:rPr>
      </w:pPr>
    </w:p>
    <w:p w:rsidR="00BF0402" w:rsidRPr="00D32C7E" w:rsidRDefault="00BF0402" w:rsidP="002A03D5">
      <w:pPr>
        <w:jc w:val="both"/>
        <w:rPr>
          <w:rFonts w:asciiTheme="majorBidi" w:hAnsiTheme="majorBidi" w:cstheme="majorBidi"/>
          <w:sz w:val="24"/>
          <w:szCs w:val="24"/>
        </w:rPr>
      </w:pPr>
    </w:p>
    <w:p w:rsidR="002A03D5" w:rsidRPr="00D32C7E" w:rsidRDefault="002A03D5" w:rsidP="002A03D5">
      <w:pPr>
        <w:jc w:val="both"/>
        <w:rPr>
          <w:rFonts w:asciiTheme="majorBidi" w:hAnsiTheme="majorBidi" w:cstheme="majorBidi"/>
          <w:sz w:val="24"/>
          <w:szCs w:val="24"/>
        </w:rPr>
      </w:pPr>
      <w:r w:rsidRPr="00D32C7E">
        <w:rPr>
          <w:rFonts w:asciiTheme="majorBidi" w:hAnsiTheme="majorBidi" w:cstheme="majorBidi"/>
          <w:b/>
          <w:bCs/>
          <w:sz w:val="24"/>
          <w:szCs w:val="24"/>
        </w:rPr>
        <w:lastRenderedPageBreak/>
        <w:t>Tableau</w:t>
      </w:r>
      <w:r w:rsidR="0099545E" w:rsidRPr="00D32C7E">
        <w:rPr>
          <w:rFonts w:asciiTheme="majorBidi" w:hAnsiTheme="majorBidi" w:cstheme="majorBidi"/>
          <w:b/>
          <w:bCs/>
          <w:sz w:val="24"/>
          <w:szCs w:val="24"/>
        </w:rPr>
        <w:t xml:space="preserve"> IV</w:t>
      </w:r>
      <w:r w:rsidRPr="00D32C7E">
        <w:rPr>
          <w:rFonts w:asciiTheme="majorBidi" w:hAnsiTheme="majorBidi" w:cstheme="majorBidi"/>
          <w:b/>
          <w:bCs/>
          <w:sz w:val="24"/>
          <w:szCs w:val="24"/>
        </w:rPr>
        <w:t>.1</w:t>
      </w:r>
      <w:r w:rsidRPr="00D32C7E">
        <w:rPr>
          <w:rFonts w:asciiTheme="majorBidi" w:hAnsiTheme="majorBidi" w:cstheme="majorBidi"/>
          <w:sz w:val="24"/>
          <w:szCs w:val="24"/>
        </w:rPr>
        <w:t xml:space="preserve"> Exemples d'excipients utilisés dans les formes injectables.</w:t>
      </w:r>
    </w:p>
    <w:tbl>
      <w:tblPr>
        <w:tblStyle w:val="Ombrageclair1"/>
        <w:tblW w:w="10915" w:type="dxa"/>
        <w:tblInd w:w="-909" w:type="dxa"/>
        <w:tblLook w:val="04A0"/>
      </w:tblPr>
      <w:tblGrid>
        <w:gridCol w:w="1985"/>
        <w:gridCol w:w="5812"/>
        <w:gridCol w:w="3118"/>
      </w:tblGrid>
      <w:tr w:rsidR="00DC1C5A" w:rsidRPr="00D32C7E" w:rsidTr="007B0786">
        <w:trPr>
          <w:cnfStyle w:val="100000000000"/>
        </w:trPr>
        <w:tc>
          <w:tcPr>
            <w:cnfStyle w:val="001000000000"/>
            <w:tcW w:w="1985" w:type="dxa"/>
            <w:shd w:val="clear" w:color="auto" w:fill="auto"/>
          </w:tcPr>
          <w:p w:rsidR="00DC1C5A" w:rsidRPr="00D32C7E" w:rsidRDefault="002A03D5" w:rsidP="007B0786">
            <w:pPr>
              <w:spacing w:line="276" w:lineRule="auto"/>
              <w:jc w:val="both"/>
              <w:rPr>
                <w:rFonts w:asciiTheme="majorBidi" w:hAnsiTheme="majorBidi" w:cstheme="majorBidi"/>
                <w:b w:val="0"/>
                <w:bCs w:val="0"/>
                <w:color w:val="auto"/>
                <w:lang w:val="en-US"/>
              </w:rPr>
            </w:pPr>
            <w:r w:rsidRPr="00D32C7E">
              <w:rPr>
                <w:rFonts w:asciiTheme="majorBidi" w:hAnsiTheme="majorBidi" w:cstheme="majorBidi"/>
                <w:color w:val="auto"/>
              </w:rPr>
              <w:t>Excipients</w:t>
            </w:r>
          </w:p>
        </w:tc>
        <w:tc>
          <w:tcPr>
            <w:tcW w:w="5812" w:type="dxa"/>
            <w:shd w:val="clear" w:color="auto" w:fill="auto"/>
          </w:tcPr>
          <w:p w:rsidR="00DC1C5A" w:rsidRPr="00D32C7E" w:rsidRDefault="00DC1C5A" w:rsidP="007B0786">
            <w:pPr>
              <w:spacing w:line="276" w:lineRule="auto"/>
              <w:jc w:val="both"/>
              <w:cnfStyle w:val="100000000000"/>
              <w:rPr>
                <w:rFonts w:asciiTheme="majorBidi" w:hAnsiTheme="majorBidi" w:cstheme="majorBidi"/>
                <w:b w:val="0"/>
                <w:bCs w:val="0"/>
                <w:color w:val="auto"/>
                <w:lang w:val="en-US"/>
              </w:rPr>
            </w:pPr>
            <w:r w:rsidRPr="00D32C7E">
              <w:rPr>
                <w:rFonts w:asciiTheme="majorBidi" w:hAnsiTheme="majorBidi" w:cstheme="majorBidi"/>
                <w:color w:val="auto"/>
                <w:lang w:val="en-US"/>
              </w:rPr>
              <w:t>Definition</w:t>
            </w:r>
          </w:p>
        </w:tc>
        <w:tc>
          <w:tcPr>
            <w:tcW w:w="3118" w:type="dxa"/>
            <w:shd w:val="clear" w:color="auto" w:fill="auto"/>
          </w:tcPr>
          <w:p w:rsidR="00DC1C5A" w:rsidRPr="00D32C7E" w:rsidRDefault="00DC1C5A" w:rsidP="007B0786">
            <w:pPr>
              <w:spacing w:line="276" w:lineRule="auto"/>
              <w:jc w:val="both"/>
              <w:cnfStyle w:val="100000000000"/>
              <w:rPr>
                <w:rFonts w:asciiTheme="majorBidi" w:hAnsiTheme="majorBidi" w:cstheme="majorBidi"/>
                <w:b w:val="0"/>
                <w:bCs w:val="0"/>
                <w:color w:val="auto"/>
                <w:lang w:val="en-US"/>
              </w:rPr>
            </w:pPr>
            <w:r w:rsidRPr="00D32C7E">
              <w:rPr>
                <w:rFonts w:asciiTheme="majorBidi" w:hAnsiTheme="majorBidi" w:cstheme="majorBidi"/>
                <w:color w:val="auto"/>
                <w:lang w:val="en-US"/>
              </w:rPr>
              <w:t>Exemples</w:t>
            </w:r>
          </w:p>
        </w:tc>
      </w:tr>
      <w:tr w:rsidR="00DC1C5A" w:rsidRPr="00D32C7E" w:rsidTr="007B0786">
        <w:trPr>
          <w:cnfStyle w:val="000000100000"/>
        </w:trPr>
        <w:tc>
          <w:tcPr>
            <w:cnfStyle w:val="001000000000"/>
            <w:tcW w:w="1985" w:type="dxa"/>
            <w:shd w:val="clear" w:color="auto" w:fill="auto"/>
          </w:tcPr>
          <w:p w:rsidR="007B0786" w:rsidRPr="00D32C7E" w:rsidRDefault="007B0786" w:rsidP="007B0786">
            <w:pPr>
              <w:spacing w:line="276" w:lineRule="auto"/>
              <w:jc w:val="both"/>
              <w:rPr>
                <w:rFonts w:asciiTheme="majorBidi" w:hAnsiTheme="majorBidi" w:cstheme="majorBidi"/>
                <w:color w:val="auto"/>
                <w:lang w:val="en-US"/>
              </w:rPr>
            </w:pPr>
          </w:p>
          <w:p w:rsidR="00DC1C5A" w:rsidRPr="00D32C7E" w:rsidRDefault="008065E0" w:rsidP="007B0786">
            <w:pPr>
              <w:spacing w:line="276" w:lineRule="auto"/>
              <w:jc w:val="both"/>
              <w:rPr>
                <w:rFonts w:asciiTheme="majorBidi" w:hAnsiTheme="majorBidi" w:cstheme="majorBidi"/>
                <w:color w:val="auto"/>
                <w:lang w:val="en-US"/>
              </w:rPr>
            </w:pPr>
            <w:r w:rsidRPr="00D32C7E">
              <w:rPr>
                <w:rFonts w:asciiTheme="majorBidi" w:hAnsiTheme="majorBidi" w:cstheme="majorBidi"/>
                <w:color w:val="auto"/>
                <w:lang w:val="en-US"/>
              </w:rPr>
              <w:t>Solva</w:t>
            </w:r>
            <w:r w:rsidR="00DC1C5A" w:rsidRPr="00D32C7E">
              <w:rPr>
                <w:rFonts w:asciiTheme="majorBidi" w:hAnsiTheme="majorBidi" w:cstheme="majorBidi"/>
                <w:color w:val="auto"/>
                <w:lang w:val="en-US"/>
              </w:rPr>
              <w:t>nts</w:t>
            </w:r>
          </w:p>
        </w:tc>
        <w:tc>
          <w:tcPr>
            <w:tcW w:w="5812" w:type="dxa"/>
            <w:shd w:val="clear" w:color="auto" w:fill="auto"/>
          </w:tcPr>
          <w:p w:rsidR="007B0786" w:rsidRPr="00D32C7E" w:rsidRDefault="007B0786" w:rsidP="007B0786">
            <w:pPr>
              <w:spacing w:line="276" w:lineRule="auto"/>
              <w:jc w:val="both"/>
              <w:cnfStyle w:val="000000100000"/>
              <w:rPr>
                <w:rFonts w:asciiTheme="majorBidi" w:hAnsiTheme="majorBidi" w:cstheme="majorBidi"/>
                <w:color w:val="auto"/>
              </w:rPr>
            </w:pPr>
          </w:p>
          <w:p w:rsidR="00DC1C5A" w:rsidRPr="00D32C7E" w:rsidRDefault="002D4140" w:rsidP="00CF7EB8">
            <w:pPr>
              <w:spacing w:line="276" w:lineRule="auto"/>
              <w:jc w:val="both"/>
              <w:cnfStyle w:val="000000100000"/>
              <w:rPr>
                <w:rFonts w:asciiTheme="majorBidi" w:hAnsiTheme="majorBidi" w:cstheme="majorBidi"/>
                <w:color w:val="auto"/>
              </w:rPr>
            </w:pPr>
            <w:r>
              <w:rPr>
                <w:rFonts w:asciiTheme="majorBidi" w:hAnsiTheme="majorBidi" w:cstheme="majorBidi"/>
                <w:color w:val="auto"/>
              </w:rPr>
              <w:t>Le s</w:t>
            </w:r>
            <w:r w:rsidR="008065E0" w:rsidRPr="00D32C7E">
              <w:rPr>
                <w:rFonts w:asciiTheme="majorBidi" w:hAnsiTheme="majorBidi" w:cstheme="majorBidi"/>
                <w:color w:val="auto"/>
              </w:rPr>
              <w:t xml:space="preserve">olvant est un liquide dans lequel d'autres substances sont dissoutes. </w:t>
            </w:r>
            <w:r w:rsidR="00CF7EB8">
              <w:rPr>
                <w:rFonts w:asciiTheme="majorBidi" w:hAnsiTheme="majorBidi" w:cstheme="majorBidi"/>
                <w:color w:val="auto"/>
              </w:rPr>
              <w:t xml:space="preserve">Son </w:t>
            </w:r>
            <w:r w:rsidR="008065E0" w:rsidRPr="00D32C7E">
              <w:rPr>
                <w:rFonts w:asciiTheme="majorBidi" w:hAnsiTheme="majorBidi" w:cstheme="majorBidi"/>
                <w:color w:val="auto"/>
              </w:rPr>
              <w:t xml:space="preserve">choix dépendra de </w:t>
            </w:r>
            <w:r w:rsidR="00CF7EB8">
              <w:rPr>
                <w:rFonts w:asciiTheme="majorBidi" w:hAnsiTheme="majorBidi" w:cstheme="majorBidi"/>
                <w:color w:val="auto"/>
              </w:rPr>
              <w:t>sa</w:t>
            </w:r>
            <w:r w:rsidR="008065E0" w:rsidRPr="00D32C7E">
              <w:rPr>
                <w:rFonts w:asciiTheme="majorBidi" w:hAnsiTheme="majorBidi" w:cstheme="majorBidi"/>
                <w:color w:val="auto"/>
              </w:rPr>
              <w:t xml:space="preserve"> compatibilité avec le médicament et les excipients dans la formulation pharmaceutique et la voie d'administration souhaitée</w:t>
            </w:r>
          </w:p>
        </w:tc>
        <w:tc>
          <w:tcPr>
            <w:tcW w:w="3118" w:type="dxa"/>
            <w:shd w:val="clear" w:color="auto" w:fill="auto"/>
          </w:tcPr>
          <w:p w:rsidR="007B0786" w:rsidRPr="00D32C7E" w:rsidRDefault="007B0786" w:rsidP="007B0786">
            <w:pPr>
              <w:spacing w:line="276" w:lineRule="auto"/>
              <w:jc w:val="both"/>
              <w:cnfStyle w:val="000000100000"/>
              <w:rPr>
                <w:rFonts w:asciiTheme="majorBidi" w:hAnsiTheme="majorBidi" w:cstheme="majorBidi"/>
                <w:color w:val="auto"/>
              </w:rPr>
            </w:pPr>
          </w:p>
          <w:p w:rsidR="00044933" w:rsidRPr="00D32C7E" w:rsidRDefault="00044933"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Eau purifiée</w:t>
            </w:r>
          </w:p>
          <w:p w:rsidR="00DC1C5A" w:rsidRPr="00D32C7E" w:rsidRDefault="00044933"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Alcool</w:t>
            </w:r>
          </w:p>
          <w:p w:rsidR="00044933" w:rsidRPr="00D32C7E" w:rsidRDefault="00044933"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Alcool isopropylique</w:t>
            </w:r>
          </w:p>
        </w:tc>
      </w:tr>
      <w:tr w:rsidR="00DC1C5A" w:rsidRPr="00D32C7E" w:rsidTr="007B0786">
        <w:tc>
          <w:tcPr>
            <w:cnfStyle w:val="001000000000"/>
            <w:tcW w:w="1985" w:type="dxa"/>
            <w:shd w:val="clear" w:color="auto" w:fill="auto"/>
          </w:tcPr>
          <w:p w:rsidR="007B0786" w:rsidRPr="00D32C7E" w:rsidRDefault="007B0786" w:rsidP="007B0786">
            <w:pPr>
              <w:spacing w:line="276" w:lineRule="auto"/>
              <w:jc w:val="both"/>
              <w:rPr>
                <w:rFonts w:asciiTheme="majorBidi" w:hAnsiTheme="majorBidi" w:cstheme="majorBidi"/>
                <w:color w:val="auto"/>
              </w:rPr>
            </w:pPr>
          </w:p>
          <w:p w:rsidR="00DC1C5A" w:rsidRPr="00D32C7E" w:rsidRDefault="00044933"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Co-solvant</w:t>
            </w:r>
          </w:p>
        </w:tc>
        <w:tc>
          <w:tcPr>
            <w:tcW w:w="5812" w:type="dxa"/>
            <w:shd w:val="clear" w:color="auto" w:fill="auto"/>
          </w:tcPr>
          <w:p w:rsidR="007B0786" w:rsidRPr="00D32C7E" w:rsidRDefault="007B0786" w:rsidP="007B0786">
            <w:pPr>
              <w:spacing w:line="276" w:lineRule="auto"/>
              <w:jc w:val="both"/>
              <w:cnfStyle w:val="000000000000"/>
              <w:rPr>
                <w:rFonts w:asciiTheme="majorBidi" w:hAnsiTheme="majorBidi" w:cstheme="majorBidi"/>
                <w:color w:val="auto"/>
              </w:rPr>
            </w:pPr>
          </w:p>
          <w:p w:rsidR="00DC1C5A" w:rsidRPr="00D32C7E" w:rsidRDefault="008065E0"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Un co-solvant est un solvant utilisé en combinaison avec un autre solvant miscible pour solubiliser un médicament. Dans les cas où un médicament a une faible solubilité dans un solvant souhaité, un co-solvant peut être utilisé.</w:t>
            </w:r>
          </w:p>
        </w:tc>
        <w:tc>
          <w:tcPr>
            <w:tcW w:w="3118" w:type="dxa"/>
            <w:shd w:val="clear" w:color="auto" w:fill="auto"/>
          </w:tcPr>
          <w:p w:rsidR="007B0786" w:rsidRPr="00D32C7E" w:rsidRDefault="007B0786" w:rsidP="007B0786">
            <w:pPr>
              <w:spacing w:line="276" w:lineRule="auto"/>
              <w:jc w:val="both"/>
              <w:cnfStyle w:val="000000000000"/>
              <w:rPr>
                <w:rFonts w:asciiTheme="majorBidi" w:hAnsiTheme="majorBidi" w:cstheme="majorBidi"/>
                <w:color w:val="auto"/>
              </w:rPr>
            </w:pPr>
          </w:p>
          <w:p w:rsidR="00DC1C5A" w:rsidRPr="00D32C7E" w:rsidRDefault="008065E0"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polyéthylène glycol (PEG), éthanol, propylène glycol et glycérine</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Huile de coton</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Huile d'arachide</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L'huile de maïs</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L'huile de soja</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huile de sésame</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huile de castor</w:t>
            </w:r>
          </w:p>
          <w:p w:rsidR="00044933" w:rsidRPr="00D32C7E" w:rsidRDefault="00044933"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Huile de noix de coco</w:t>
            </w:r>
          </w:p>
        </w:tc>
      </w:tr>
      <w:tr w:rsidR="00DC1C5A" w:rsidRPr="00D32C7E" w:rsidTr="007B0786">
        <w:trPr>
          <w:cnfStyle w:val="000000100000"/>
        </w:trPr>
        <w:tc>
          <w:tcPr>
            <w:cnfStyle w:val="001000000000"/>
            <w:tcW w:w="1985" w:type="dxa"/>
            <w:shd w:val="clear" w:color="auto" w:fill="auto"/>
          </w:tcPr>
          <w:p w:rsidR="00DC1C5A" w:rsidRPr="00D32C7E" w:rsidRDefault="00F2151F"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Les antioxydants</w:t>
            </w:r>
          </w:p>
        </w:tc>
        <w:tc>
          <w:tcPr>
            <w:tcW w:w="5812" w:type="dxa"/>
            <w:shd w:val="clear" w:color="auto" w:fill="auto"/>
          </w:tcPr>
          <w:p w:rsidR="00DC1C5A"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Les antioxydants sont utilisés pour empêcher la dégradation oxydative des médicaments sensibles</w:t>
            </w:r>
          </w:p>
        </w:tc>
        <w:tc>
          <w:tcPr>
            <w:tcW w:w="3118" w:type="dxa"/>
            <w:shd w:val="clear" w:color="auto" w:fill="auto"/>
          </w:tcPr>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Acide ascorbique</w:t>
            </w:r>
          </w:p>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Ascorbate de sodium</w:t>
            </w:r>
          </w:p>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Bisulfate de sodium</w:t>
            </w:r>
          </w:p>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Le métabisulfite de sodium</w:t>
            </w:r>
          </w:p>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Sodium formaldéhyde</w:t>
            </w:r>
          </w:p>
          <w:p w:rsidR="004E2C5E" w:rsidRPr="00D32C7E" w:rsidRDefault="004E2C5E" w:rsidP="004E2C5E">
            <w:pPr>
              <w:jc w:val="both"/>
              <w:cnfStyle w:val="000000100000"/>
              <w:rPr>
                <w:rFonts w:asciiTheme="majorBidi" w:hAnsiTheme="majorBidi" w:cstheme="majorBidi"/>
                <w:color w:val="auto"/>
              </w:rPr>
            </w:pPr>
            <w:r w:rsidRPr="00D32C7E">
              <w:rPr>
                <w:rFonts w:asciiTheme="majorBidi" w:hAnsiTheme="majorBidi" w:cstheme="majorBidi"/>
                <w:color w:val="auto"/>
              </w:rPr>
              <w:t>sulfoxylate</w:t>
            </w:r>
          </w:p>
          <w:p w:rsidR="00DC1C5A" w:rsidRPr="00D32C7E" w:rsidRDefault="004E2C5E" w:rsidP="004E2C5E">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Thiourée</w:t>
            </w:r>
          </w:p>
        </w:tc>
      </w:tr>
      <w:tr w:rsidR="00DC1C5A" w:rsidRPr="00D32C7E" w:rsidTr="007B0786">
        <w:tc>
          <w:tcPr>
            <w:cnfStyle w:val="001000000000"/>
            <w:tcW w:w="1985" w:type="dxa"/>
            <w:shd w:val="clear" w:color="auto" w:fill="auto"/>
          </w:tcPr>
          <w:p w:rsidR="00DC1C5A" w:rsidRPr="00D32C7E" w:rsidRDefault="002A03D5"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A</w:t>
            </w:r>
            <w:r w:rsidR="00F2151F" w:rsidRPr="00D32C7E">
              <w:rPr>
                <w:rFonts w:asciiTheme="majorBidi" w:hAnsiTheme="majorBidi" w:cstheme="majorBidi"/>
                <w:color w:val="auto"/>
              </w:rPr>
              <w:t>gents chélatants</w:t>
            </w:r>
          </w:p>
        </w:tc>
        <w:tc>
          <w:tcPr>
            <w:tcW w:w="5812" w:type="dxa"/>
            <w:shd w:val="clear" w:color="auto" w:fill="auto"/>
          </w:tcPr>
          <w:p w:rsidR="00DC1C5A" w:rsidRPr="00D32C7E" w:rsidRDefault="00F2151F"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Des agents chélatants sont ajoutés pour inactiver les métaux, tels que le cuivre, le fer et le zinc qui catalysent généralement la dégradation oxydative des molécules de médicaments.</w:t>
            </w:r>
          </w:p>
          <w:p w:rsidR="004E2C5E" w:rsidRPr="00D32C7E" w:rsidRDefault="004E2C5E" w:rsidP="007B0786">
            <w:pPr>
              <w:spacing w:line="276" w:lineRule="auto"/>
              <w:jc w:val="both"/>
              <w:cnfStyle w:val="000000000000"/>
              <w:rPr>
                <w:rFonts w:asciiTheme="majorBidi" w:hAnsiTheme="majorBidi" w:cstheme="majorBidi"/>
                <w:color w:val="auto"/>
              </w:rPr>
            </w:pPr>
          </w:p>
        </w:tc>
        <w:tc>
          <w:tcPr>
            <w:tcW w:w="3118" w:type="dxa"/>
            <w:shd w:val="clear" w:color="auto" w:fill="auto"/>
          </w:tcPr>
          <w:p w:rsidR="00F2151F" w:rsidRPr="00F05C2C" w:rsidRDefault="00F2151F" w:rsidP="007B0786">
            <w:pPr>
              <w:spacing w:line="276" w:lineRule="auto"/>
              <w:jc w:val="both"/>
              <w:cnfStyle w:val="000000000000"/>
              <w:rPr>
                <w:rFonts w:asciiTheme="majorBidi" w:hAnsiTheme="majorBidi" w:cstheme="majorBidi"/>
                <w:color w:val="auto"/>
              </w:rPr>
            </w:pPr>
            <w:r w:rsidRPr="00F05C2C">
              <w:rPr>
                <w:rFonts w:asciiTheme="majorBidi" w:hAnsiTheme="majorBidi" w:cstheme="majorBidi"/>
                <w:color w:val="auto"/>
              </w:rPr>
              <w:t>EDTA</w:t>
            </w:r>
          </w:p>
          <w:p w:rsidR="004E2C5E" w:rsidRPr="00D32C7E" w:rsidRDefault="004E2C5E" w:rsidP="004E2C5E">
            <w:pPr>
              <w:jc w:val="both"/>
              <w:cnfStyle w:val="000000000000"/>
              <w:rPr>
                <w:rFonts w:asciiTheme="majorBidi" w:hAnsiTheme="majorBidi" w:cstheme="majorBidi"/>
                <w:color w:val="auto"/>
              </w:rPr>
            </w:pPr>
            <w:r w:rsidRPr="00D32C7E">
              <w:rPr>
                <w:rFonts w:asciiTheme="majorBidi" w:hAnsiTheme="majorBidi" w:cstheme="majorBidi"/>
                <w:color w:val="auto"/>
              </w:rPr>
              <w:t>Acide citrique</w:t>
            </w:r>
          </w:p>
          <w:p w:rsidR="004E2C5E" w:rsidRPr="00D32C7E" w:rsidRDefault="004E2C5E" w:rsidP="004E2C5E">
            <w:pPr>
              <w:jc w:val="both"/>
              <w:cnfStyle w:val="000000000000"/>
              <w:rPr>
                <w:rFonts w:asciiTheme="majorBidi" w:hAnsiTheme="majorBidi" w:cstheme="majorBidi"/>
                <w:color w:val="auto"/>
              </w:rPr>
            </w:pPr>
            <w:r w:rsidRPr="00D32C7E">
              <w:rPr>
                <w:rFonts w:asciiTheme="majorBidi" w:hAnsiTheme="majorBidi" w:cstheme="majorBidi"/>
                <w:color w:val="auto"/>
              </w:rPr>
              <w:t>L'acide fumarique</w:t>
            </w:r>
          </w:p>
          <w:p w:rsidR="00DC1C5A" w:rsidRPr="00D32C7E" w:rsidRDefault="004E2C5E" w:rsidP="004E2C5E">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L'acide tartrique</w:t>
            </w:r>
          </w:p>
        </w:tc>
      </w:tr>
      <w:tr w:rsidR="00DC1C5A" w:rsidRPr="00D32C7E" w:rsidTr="007B0786">
        <w:trPr>
          <w:cnfStyle w:val="000000100000"/>
        </w:trPr>
        <w:tc>
          <w:tcPr>
            <w:cnfStyle w:val="001000000000"/>
            <w:tcW w:w="1985" w:type="dxa"/>
            <w:shd w:val="clear" w:color="auto" w:fill="auto"/>
          </w:tcPr>
          <w:p w:rsidR="00DC1C5A" w:rsidRPr="00D32C7E" w:rsidRDefault="00F2151F"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Conservateurs</w:t>
            </w:r>
          </w:p>
        </w:tc>
        <w:tc>
          <w:tcPr>
            <w:tcW w:w="5812" w:type="dxa"/>
            <w:shd w:val="clear" w:color="auto" w:fill="auto"/>
          </w:tcPr>
          <w:p w:rsidR="00DC1C5A" w:rsidRPr="00D32C7E" w:rsidRDefault="00CF7EB8" w:rsidP="00837E6A">
            <w:pPr>
              <w:spacing w:line="276" w:lineRule="auto"/>
              <w:jc w:val="both"/>
              <w:cnfStyle w:val="000000100000"/>
              <w:rPr>
                <w:rFonts w:asciiTheme="majorBidi" w:hAnsiTheme="majorBidi" w:cstheme="majorBidi"/>
                <w:color w:val="auto"/>
              </w:rPr>
            </w:pPr>
            <w:r>
              <w:rPr>
                <w:rFonts w:asciiTheme="majorBidi" w:hAnsiTheme="majorBidi" w:cstheme="majorBidi"/>
                <w:color w:val="auto"/>
              </w:rPr>
              <w:t>Les c</w:t>
            </w:r>
            <w:r w:rsidR="00F2151F" w:rsidRPr="00D32C7E">
              <w:rPr>
                <w:rFonts w:asciiTheme="majorBidi" w:hAnsiTheme="majorBidi" w:cstheme="majorBidi"/>
                <w:color w:val="auto"/>
              </w:rPr>
              <w:t xml:space="preserve">onservateurs </w:t>
            </w:r>
            <w:r w:rsidRPr="00D32C7E">
              <w:rPr>
                <w:rFonts w:asciiTheme="majorBidi" w:hAnsiTheme="majorBidi" w:cstheme="majorBidi"/>
                <w:color w:val="auto"/>
              </w:rPr>
              <w:t>aident</w:t>
            </w:r>
            <w:r w:rsidR="00F2151F" w:rsidRPr="00D32C7E">
              <w:rPr>
                <w:rFonts w:asciiTheme="majorBidi" w:hAnsiTheme="majorBidi" w:cstheme="majorBidi"/>
                <w:color w:val="auto"/>
              </w:rPr>
              <w:t xml:space="preserve"> à prévenir la croissance microbienne dans une solution. Lorsque des conservateurs sont utilisés, leur compatibilité avec les médicaments doit être soigneusement examinée</w:t>
            </w:r>
          </w:p>
        </w:tc>
        <w:tc>
          <w:tcPr>
            <w:tcW w:w="3118" w:type="dxa"/>
            <w:shd w:val="clear" w:color="auto" w:fill="auto"/>
          </w:tcPr>
          <w:p w:rsidR="00F2151F"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Parabens</w:t>
            </w:r>
          </w:p>
          <w:p w:rsidR="00F2151F"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Acide benzoique</w:t>
            </w:r>
          </w:p>
          <w:p w:rsidR="00F2151F"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L'acide sorbique</w:t>
            </w:r>
          </w:p>
          <w:p w:rsidR="00F2151F"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Éthanol</w:t>
            </w:r>
          </w:p>
          <w:p w:rsidR="00DC1C5A" w:rsidRPr="00D32C7E" w:rsidRDefault="00F2151F"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Propylène glycol</w:t>
            </w:r>
          </w:p>
        </w:tc>
      </w:tr>
      <w:tr w:rsidR="00DC1C5A" w:rsidRPr="00D32C7E" w:rsidTr="007B0786">
        <w:tc>
          <w:tcPr>
            <w:cnfStyle w:val="001000000000"/>
            <w:tcW w:w="1985" w:type="dxa"/>
            <w:shd w:val="clear" w:color="auto" w:fill="auto"/>
          </w:tcPr>
          <w:p w:rsidR="00DC1C5A" w:rsidRPr="00D32C7E" w:rsidRDefault="002A03D5"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Agents tensioactifs</w:t>
            </w:r>
          </w:p>
        </w:tc>
        <w:tc>
          <w:tcPr>
            <w:tcW w:w="5812" w:type="dxa"/>
            <w:shd w:val="clear" w:color="auto" w:fill="auto"/>
          </w:tcPr>
          <w:p w:rsidR="00DC1C5A" w:rsidRPr="00D32C7E" w:rsidRDefault="00F2151F" w:rsidP="00EB22D7">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Les tensioactifs, également appelés agents tensioactifs, sont des molécules contenant à la fois un composant hydrophobe et hydrophile.</w:t>
            </w:r>
            <w:r w:rsidR="00EB22D7" w:rsidRPr="00D32C7E">
              <w:rPr>
                <w:rFonts w:asciiTheme="majorBidi" w:hAnsiTheme="majorBidi" w:cstheme="majorBidi"/>
                <w:color w:val="auto"/>
              </w:rPr>
              <w:t xml:space="preserve"> </w:t>
            </w:r>
            <w:r w:rsidRPr="00D32C7E">
              <w:rPr>
                <w:rFonts w:asciiTheme="majorBidi" w:hAnsiTheme="majorBidi" w:cstheme="majorBidi"/>
                <w:color w:val="auto"/>
              </w:rPr>
              <w:t>Ils peuvent être incorporés dans des formulations de solution pour augmenter la solubilité des médicaments et faciliter le mouillage du médicament dans les liquides</w:t>
            </w:r>
            <w:r w:rsidR="00EB22D7" w:rsidRPr="00D32C7E">
              <w:rPr>
                <w:rFonts w:asciiTheme="majorBidi" w:hAnsiTheme="majorBidi" w:cstheme="majorBidi"/>
                <w:color w:val="auto"/>
              </w:rPr>
              <w:t>.</w:t>
            </w:r>
          </w:p>
        </w:tc>
        <w:tc>
          <w:tcPr>
            <w:tcW w:w="3118" w:type="dxa"/>
            <w:shd w:val="clear" w:color="auto" w:fill="auto"/>
          </w:tcPr>
          <w:p w:rsidR="002A03D5" w:rsidRPr="00D32C7E" w:rsidRDefault="002A03D5"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Laurate de potassium</w:t>
            </w:r>
          </w:p>
          <w:p w:rsidR="002A03D5" w:rsidRPr="00D32C7E" w:rsidRDefault="002A03D5"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Sodium dodécyl sulfate (c'est-à-dire le lauryl sulfate de sodium)</w:t>
            </w:r>
          </w:p>
          <w:p w:rsidR="002A03D5" w:rsidRPr="00D32C7E" w:rsidRDefault="002A03D5"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Bromure de cétrimonium</w:t>
            </w:r>
          </w:p>
          <w:p w:rsidR="00DC1C5A" w:rsidRPr="00D32C7E" w:rsidRDefault="002A03D5" w:rsidP="007B0786">
            <w:pPr>
              <w:spacing w:line="276" w:lineRule="auto"/>
              <w:jc w:val="both"/>
              <w:cnfStyle w:val="000000000000"/>
              <w:rPr>
                <w:rFonts w:asciiTheme="majorBidi" w:hAnsiTheme="majorBidi" w:cstheme="majorBidi"/>
                <w:color w:val="auto"/>
              </w:rPr>
            </w:pPr>
            <w:r w:rsidRPr="00D32C7E">
              <w:rPr>
                <w:rFonts w:asciiTheme="majorBidi" w:hAnsiTheme="majorBidi" w:cstheme="majorBidi"/>
                <w:color w:val="auto"/>
              </w:rPr>
              <w:t>Polysorbate (Tween®) 20, 40, 60, 80</w:t>
            </w:r>
          </w:p>
        </w:tc>
      </w:tr>
      <w:tr w:rsidR="00DC1C5A" w:rsidRPr="00D32C7E" w:rsidTr="007B0786">
        <w:trPr>
          <w:cnfStyle w:val="000000100000"/>
        </w:trPr>
        <w:tc>
          <w:tcPr>
            <w:cnfStyle w:val="001000000000"/>
            <w:tcW w:w="1985" w:type="dxa"/>
            <w:shd w:val="clear" w:color="auto" w:fill="auto"/>
          </w:tcPr>
          <w:p w:rsidR="007B0786" w:rsidRPr="00D32C7E" w:rsidRDefault="007B0786" w:rsidP="007B0786">
            <w:pPr>
              <w:spacing w:line="276" w:lineRule="auto"/>
              <w:jc w:val="both"/>
              <w:rPr>
                <w:rFonts w:asciiTheme="majorBidi" w:hAnsiTheme="majorBidi" w:cstheme="majorBidi"/>
                <w:color w:val="auto"/>
              </w:rPr>
            </w:pPr>
          </w:p>
          <w:p w:rsidR="00DC1C5A" w:rsidRPr="00D32C7E" w:rsidRDefault="002A03D5" w:rsidP="007B0786">
            <w:pPr>
              <w:spacing w:line="276" w:lineRule="auto"/>
              <w:jc w:val="both"/>
              <w:rPr>
                <w:rFonts w:asciiTheme="majorBidi" w:hAnsiTheme="majorBidi" w:cstheme="majorBidi"/>
                <w:color w:val="auto"/>
              </w:rPr>
            </w:pPr>
            <w:r w:rsidRPr="00D32C7E">
              <w:rPr>
                <w:rFonts w:asciiTheme="majorBidi" w:hAnsiTheme="majorBidi" w:cstheme="majorBidi"/>
                <w:color w:val="auto"/>
              </w:rPr>
              <w:t>Modificateurs de tonicité</w:t>
            </w:r>
          </w:p>
        </w:tc>
        <w:tc>
          <w:tcPr>
            <w:tcW w:w="5812" w:type="dxa"/>
            <w:shd w:val="clear" w:color="auto" w:fill="auto"/>
          </w:tcPr>
          <w:p w:rsidR="007B0786" w:rsidRPr="00D32C7E" w:rsidRDefault="007B0786" w:rsidP="007B0786">
            <w:pPr>
              <w:spacing w:line="276" w:lineRule="auto"/>
              <w:jc w:val="both"/>
              <w:cnfStyle w:val="000000100000"/>
              <w:rPr>
                <w:rFonts w:asciiTheme="majorBidi" w:hAnsiTheme="majorBidi" w:cstheme="majorBidi"/>
                <w:color w:val="auto"/>
              </w:rPr>
            </w:pPr>
          </w:p>
          <w:p w:rsidR="00DC1C5A" w:rsidRPr="00D32C7E" w:rsidRDefault="00CF7EB8" w:rsidP="007B0786">
            <w:pPr>
              <w:spacing w:line="276" w:lineRule="auto"/>
              <w:jc w:val="both"/>
              <w:cnfStyle w:val="000000100000"/>
              <w:rPr>
                <w:rFonts w:asciiTheme="majorBidi" w:hAnsiTheme="majorBidi" w:cstheme="majorBidi"/>
                <w:color w:val="auto"/>
              </w:rPr>
            </w:pPr>
            <w:r>
              <w:rPr>
                <w:rFonts w:asciiTheme="majorBidi" w:hAnsiTheme="majorBidi" w:cstheme="majorBidi"/>
                <w:color w:val="auto"/>
              </w:rPr>
              <w:t>Les m</w:t>
            </w:r>
            <w:r w:rsidR="002A03D5" w:rsidRPr="00D32C7E">
              <w:rPr>
                <w:rFonts w:asciiTheme="majorBidi" w:hAnsiTheme="majorBidi" w:cstheme="majorBidi"/>
                <w:color w:val="auto"/>
              </w:rPr>
              <w:t>odificateurs de tonicité sont couramment utilisés pour obtenir une isotonicité dans une formulation parentérale</w:t>
            </w:r>
          </w:p>
        </w:tc>
        <w:tc>
          <w:tcPr>
            <w:tcW w:w="3118" w:type="dxa"/>
            <w:shd w:val="clear" w:color="auto" w:fill="auto"/>
          </w:tcPr>
          <w:p w:rsidR="007B0786" w:rsidRPr="00D32C7E" w:rsidRDefault="007B0786" w:rsidP="007B0786">
            <w:pPr>
              <w:spacing w:line="276" w:lineRule="auto"/>
              <w:jc w:val="both"/>
              <w:cnfStyle w:val="000000100000"/>
              <w:rPr>
                <w:rFonts w:asciiTheme="majorBidi" w:hAnsiTheme="majorBidi" w:cstheme="majorBidi"/>
                <w:color w:val="auto"/>
              </w:rPr>
            </w:pPr>
          </w:p>
          <w:p w:rsidR="002A03D5" w:rsidRPr="00D32C7E" w:rsidRDefault="002A03D5"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Dextrose</w:t>
            </w:r>
          </w:p>
          <w:p w:rsidR="002A03D5" w:rsidRPr="00D32C7E" w:rsidRDefault="002A03D5"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 xml:space="preserve">Chlorure de sodium </w:t>
            </w:r>
          </w:p>
          <w:p w:rsidR="00DC1C5A" w:rsidRPr="00D32C7E" w:rsidRDefault="002A03D5" w:rsidP="007B0786">
            <w:pPr>
              <w:spacing w:line="276" w:lineRule="auto"/>
              <w:jc w:val="both"/>
              <w:cnfStyle w:val="000000100000"/>
              <w:rPr>
                <w:rFonts w:asciiTheme="majorBidi" w:hAnsiTheme="majorBidi" w:cstheme="majorBidi"/>
                <w:color w:val="auto"/>
              </w:rPr>
            </w:pPr>
            <w:r w:rsidRPr="00D32C7E">
              <w:rPr>
                <w:rFonts w:asciiTheme="majorBidi" w:hAnsiTheme="majorBidi" w:cstheme="majorBidi"/>
                <w:color w:val="auto"/>
              </w:rPr>
              <w:t>Chlorure de potassium</w:t>
            </w:r>
          </w:p>
        </w:tc>
      </w:tr>
    </w:tbl>
    <w:p w:rsidR="00D93F0F" w:rsidRPr="00D32C7E" w:rsidRDefault="00D93F0F" w:rsidP="00D93F0F">
      <w:pPr>
        <w:rPr>
          <w:rFonts w:asciiTheme="majorBidi" w:hAnsiTheme="majorBidi" w:cstheme="majorBidi"/>
          <w:sz w:val="24"/>
          <w:szCs w:val="24"/>
        </w:rPr>
      </w:pPr>
    </w:p>
    <w:p w:rsidR="00865E51" w:rsidRDefault="00865E51" w:rsidP="00D93F0F">
      <w:pPr>
        <w:tabs>
          <w:tab w:val="left" w:pos="1200"/>
        </w:tabs>
        <w:spacing w:line="360" w:lineRule="auto"/>
        <w:jc w:val="both"/>
        <w:rPr>
          <w:rFonts w:asciiTheme="majorBidi" w:hAnsiTheme="majorBidi" w:cstheme="majorBidi"/>
          <w:b/>
          <w:bCs/>
          <w:sz w:val="24"/>
          <w:szCs w:val="24"/>
        </w:rPr>
      </w:pPr>
    </w:p>
    <w:p w:rsidR="00D93F0F" w:rsidRPr="00D32C7E" w:rsidRDefault="0099545E" w:rsidP="00D93F0F">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 xml:space="preserve">IV.2.3. 3. </w:t>
      </w:r>
      <w:r w:rsidR="00D93F0F" w:rsidRPr="00D32C7E">
        <w:rPr>
          <w:rFonts w:asciiTheme="majorBidi" w:hAnsiTheme="majorBidi" w:cstheme="majorBidi"/>
          <w:b/>
          <w:bCs/>
          <w:sz w:val="24"/>
          <w:szCs w:val="24"/>
        </w:rPr>
        <w:t xml:space="preserve">Les matières premières et </w:t>
      </w:r>
      <w:r w:rsidR="00837E6A" w:rsidRPr="00D32C7E">
        <w:rPr>
          <w:rFonts w:asciiTheme="majorBidi" w:hAnsiTheme="majorBidi" w:cstheme="majorBidi"/>
          <w:b/>
          <w:bCs/>
          <w:sz w:val="24"/>
          <w:szCs w:val="24"/>
        </w:rPr>
        <w:t xml:space="preserve">les objets de conditionnement </w:t>
      </w:r>
    </w:p>
    <w:p w:rsidR="00D93F0F" w:rsidRPr="00D32C7E" w:rsidRDefault="00D93F0F" w:rsidP="00D93F0F">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Stérilisés séparément, </w:t>
      </w:r>
      <w:r w:rsidR="00CF7EB8">
        <w:rPr>
          <w:rFonts w:asciiTheme="majorBidi" w:hAnsiTheme="majorBidi" w:cstheme="majorBidi"/>
          <w:sz w:val="24"/>
          <w:szCs w:val="24"/>
        </w:rPr>
        <w:t xml:space="preserve">ils </w:t>
      </w:r>
      <w:r w:rsidRPr="00D32C7E">
        <w:rPr>
          <w:rFonts w:asciiTheme="majorBidi" w:hAnsiTheme="majorBidi" w:cstheme="majorBidi"/>
          <w:sz w:val="24"/>
          <w:szCs w:val="24"/>
        </w:rPr>
        <w:t xml:space="preserve">sont introduits par la suite dans les ateliers par l’intermédiaire d’un </w:t>
      </w:r>
      <w:r w:rsidRPr="004A261D">
        <w:rPr>
          <w:rFonts w:asciiTheme="majorBidi" w:hAnsiTheme="majorBidi" w:cstheme="majorBidi"/>
          <w:sz w:val="24"/>
          <w:szCs w:val="24"/>
        </w:rPr>
        <w:t>sas, lui</w:t>
      </w:r>
      <w:r w:rsidR="00BC1226" w:rsidRPr="00D32C7E">
        <w:rPr>
          <w:rFonts w:asciiTheme="majorBidi" w:hAnsiTheme="majorBidi" w:cstheme="majorBidi"/>
          <w:sz w:val="24"/>
          <w:szCs w:val="24"/>
        </w:rPr>
        <w:t xml:space="preserve"> </w:t>
      </w:r>
      <w:r w:rsidRPr="00D32C7E">
        <w:rPr>
          <w:rFonts w:asciiTheme="majorBidi" w:hAnsiTheme="majorBidi" w:cstheme="majorBidi"/>
          <w:sz w:val="24"/>
          <w:szCs w:val="24"/>
        </w:rPr>
        <w:t xml:space="preserve">même rendu stérile (principes actifs, excipients, solvants, flacons, bouchons, …). </w:t>
      </w:r>
    </w:p>
    <w:p w:rsidR="00DA66EE" w:rsidRDefault="00D93F0F" w:rsidP="00D2702D">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Le solvant : le plus souvent c’est de l’eau, eau distillée ou bidistillée utilisée moins de 3 heures après sa fabrication (pour empêcher le développement de pyrogènes) sinon la conserver, moins de 24 heures dans des citernes en acier i</w:t>
      </w:r>
      <w:r w:rsidR="00E12584" w:rsidRPr="00D32C7E">
        <w:rPr>
          <w:rFonts w:asciiTheme="majorBidi" w:hAnsiTheme="majorBidi" w:cstheme="majorBidi"/>
          <w:sz w:val="24"/>
          <w:szCs w:val="24"/>
        </w:rPr>
        <w:t>noxydable chauffées à 70 – 80°C.</w:t>
      </w:r>
    </w:p>
    <w:p w:rsidR="004A261D" w:rsidRPr="004A261D" w:rsidRDefault="002F4874" w:rsidP="004A261D">
      <w:pPr>
        <w:tabs>
          <w:tab w:val="left" w:pos="1200"/>
        </w:tabs>
        <w:spacing w:line="360" w:lineRule="auto"/>
        <w:jc w:val="both"/>
        <w:rPr>
          <w:rFonts w:asciiTheme="majorBidi" w:hAnsiTheme="majorBidi" w:cstheme="majorBidi"/>
          <w:sz w:val="24"/>
          <w:szCs w:val="24"/>
        </w:rPr>
      </w:pPr>
      <w:r w:rsidRPr="002F4874">
        <w:rPr>
          <w:rFonts w:asciiTheme="majorBidi" w:hAnsiTheme="majorBidi" w:cstheme="majorBidi"/>
          <w:b/>
          <w:bCs/>
          <w:i/>
          <w:iCs/>
          <w:sz w:val="24"/>
          <w:szCs w:val="24"/>
        </w:rPr>
        <w:t>Remarque :</w:t>
      </w:r>
      <w:r>
        <w:rPr>
          <w:rFonts w:asciiTheme="majorBidi" w:hAnsiTheme="majorBidi" w:cstheme="majorBidi"/>
          <w:sz w:val="24"/>
          <w:szCs w:val="24"/>
        </w:rPr>
        <w:t xml:space="preserve"> </w:t>
      </w:r>
      <w:r w:rsidR="004A261D" w:rsidRPr="004A261D">
        <w:rPr>
          <w:rFonts w:asciiTheme="majorBidi" w:hAnsiTheme="majorBidi" w:cstheme="majorBidi"/>
          <w:sz w:val="24"/>
          <w:szCs w:val="24"/>
        </w:rPr>
        <w:t>Un sas est une barrière entre une partie “sale” généralement une circulation et une partie “propre” les locaux d’activité. Cette barrière est à la fois physique et aéraulique :</w:t>
      </w:r>
    </w:p>
    <w:p w:rsidR="004A261D" w:rsidRPr="004A261D" w:rsidRDefault="004A261D" w:rsidP="004A261D">
      <w:pPr>
        <w:tabs>
          <w:tab w:val="left" w:pos="1200"/>
        </w:tabs>
        <w:spacing w:line="360" w:lineRule="auto"/>
        <w:jc w:val="both"/>
        <w:rPr>
          <w:rFonts w:asciiTheme="majorBidi" w:hAnsiTheme="majorBidi" w:cstheme="majorBidi"/>
          <w:sz w:val="24"/>
          <w:szCs w:val="24"/>
        </w:rPr>
      </w:pPr>
      <w:r w:rsidRPr="004A261D">
        <w:rPr>
          <w:rFonts w:asciiTheme="majorBidi" w:hAnsiTheme="majorBidi" w:cstheme="majorBidi"/>
          <w:sz w:val="24"/>
          <w:szCs w:val="24"/>
        </w:rPr>
        <w:t>Barrière physique : Un sas est constitué d’une enveloppe étanche composé de cloisons, plafonds et sol, avec au minimum deux portes.</w:t>
      </w:r>
    </w:p>
    <w:p w:rsidR="002F4874" w:rsidRPr="00D32C7E" w:rsidRDefault="004A261D" w:rsidP="004A261D">
      <w:pPr>
        <w:tabs>
          <w:tab w:val="left" w:pos="1200"/>
        </w:tabs>
        <w:spacing w:line="360" w:lineRule="auto"/>
        <w:jc w:val="both"/>
        <w:rPr>
          <w:rFonts w:asciiTheme="majorBidi" w:hAnsiTheme="majorBidi" w:cstheme="majorBidi"/>
          <w:sz w:val="24"/>
          <w:szCs w:val="24"/>
        </w:rPr>
      </w:pPr>
      <w:r w:rsidRPr="004A261D">
        <w:rPr>
          <w:rFonts w:asciiTheme="majorBidi" w:hAnsiTheme="majorBidi" w:cstheme="majorBidi"/>
          <w:sz w:val="24"/>
          <w:szCs w:val="24"/>
        </w:rPr>
        <w:t>Barrière aéraulique : Par un jeu de gradient de pression atmosphérique évite toutes contaminations des zones à protégés. Il peut être aussi sujet à décontamination (H</w:t>
      </w:r>
      <w:r w:rsidRPr="004A261D">
        <w:rPr>
          <w:rFonts w:asciiTheme="majorBidi" w:hAnsiTheme="majorBidi" w:cstheme="majorBidi"/>
          <w:sz w:val="24"/>
          <w:szCs w:val="24"/>
          <w:vertAlign w:val="subscript"/>
        </w:rPr>
        <w:t>2</w:t>
      </w:r>
      <w:r w:rsidRPr="004A261D">
        <w:rPr>
          <w:rFonts w:asciiTheme="majorBidi" w:hAnsiTheme="majorBidi" w:cstheme="majorBidi"/>
          <w:sz w:val="24"/>
          <w:szCs w:val="24"/>
        </w:rPr>
        <w:t>O</w:t>
      </w:r>
      <w:r w:rsidRPr="004A261D">
        <w:rPr>
          <w:rFonts w:asciiTheme="majorBidi" w:hAnsiTheme="majorBidi" w:cstheme="majorBidi"/>
          <w:sz w:val="24"/>
          <w:szCs w:val="24"/>
          <w:vertAlign w:val="subscript"/>
        </w:rPr>
        <w:t>2</w:t>
      </w:r>
      <w:r w:rsidRPr="004A261D">
        <w:rPr>
          <w:rFonts w:asciiTheme="majorBidi" w:hAnsiTheme="majorBidi" w:cstheme="majorBidi"/>
          <w:sz w:val="24"/>
          <w:szCs w:val="24"/>
        </w:rPr>
        <w:t xml:space="preserve"> ou autre).</w:t>
      </w:r>
    </w:p>
    <w:p w:rsidR="00AB3F21" w:rsidRPr="00D32C7E" w:rsidRDefault="0099545E" w:rsidP="00D93F0F">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IV.2.4. </w:t>
      </w:r>
      <w:r w:rsidR="00AB3F21" w:rsidRPr="00D32C7E">
        <w:rPr>
          <w:rFonts w:asciiTheme="majorBidi" w:hAnsiTheme="majorBidi" w:cstheme="majorBidi"/>
          <w:b/>
          <w:bCs/>
          <w:sz w:val="24"/>
          <w:szCs w:val="24"/>
        </w:rPr>
        <w:t>Stérilisation</w:t>
      </w:r>
      <w:r w:rsidRPr="00D32C7E">
        <w:rPr>
          <w:rFonts w:asciiTheme="majorBidi" w:hAnsiTheme="majorBidi" w:cstheme="majorBidi"/>
          <w:b/>
          <w:bCs/>
          <w:sz w:val="24"/>
          <w:szCs w:val="24"/>
        </w:rPr>
        <w:t xml:space="preserve"> des préparations parentérales</w:t>
      </w:r>
    </w:p>
    <w:p w:rsidR="00CF7EB8" w:rsidRDefault="00214859" w:rsidP="00214859">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Tous les produits parentéraux doivent être stériles. La stérilité est assurée par un processus en trois étapes: </w:t>
      </w:r>
    </w:p>
    <w:p w:rsidR="00CF7EB8" w:rsidRPr="00CF7EB8" w:rsidRDefault="00CF7EB8" w:rsidP="00CF7EB8">
      <w:pPr>
        <w:pStyle w:val="Paragraphedeliste"/>
        <w:numPr>
          <w:ilvl w:val="0"/>
          <w:numId w:val="40"/>
        </w:numPr>
        <w:tabs>
          <w:tab w:val="left" w:pos="1200"/>
        </w:tabs>
        <w:spacing w:line="360" w:lineRule="auto"/>
        <w:jc w:val="both"/>
        <w:rPr>
          <w:rFonts w:asciiTheme="majorBidi" w:hAnsiTheme="majorBidi" w:cstheme="majorBidi"/>
          <w:sz w:val="24"/>
          <w:szCs w:val="24"/>
        </w:rPr>
      </w:pPr>
      <w:r w:rsidRPr="00CF7EB8">
        <w:rPr>
          <w:rFonts w:asciiTheme="majorBidi" w:hAnsiTheme="majorBidi" w:cstheme="majorBidi"/>
          <w:sz w:val="24"/>
          <w:szCs w:val="24"/>
        </w:rPr>
        <w:t>U</w:t>
      </w:r>
      <w:r w:rsidR="00214859" w:rsidRPr="00CF7EB8">
        <w:rPr>
          <w:rFonts w:asciiTheme="majorBidi" w:hAnsiTheme="majorBidi" w:cstheme="majorBidi"/>
          <w:sz w:val="24"/>
          <w:szCs w:val="24"/>
        </w:rPr>
        <w:t>tilisation de matières premières stériles et d'équipements de traitement,</w:t>
      </w:r>
    </w:p>
    <w:p w:rsidR="00CF7EB8" w:rsidRDefault="00CF7EB8" w:rsidP="00CF7EB8">
      <w:pPr>
        <w:pStyle w:val="Paragraphedeliste"/>
        <w:numPr>
          <w:ilvl w:val="0"/>
          <w:numId w:val="40"/>
        </w:numPr>
        <w:tabs>
          <w:tab w:val="left" w:pos="1200"/>
        </w:tabs>
        <w:spacing w:line="360" w:lineRule="auto"/>
        <w:jc w:val="both"/>
        <w:rPr>
          <w:rFonts w:asciiTheme="majorBidi" w:hAnsiTheme="majorBidi" w:cstheme="majorBidi"/>
          <w:sz w:val="24"/>
          <w:szCs w:val="24"/>
        </w:rPr>
      </w:pPr>
      <w:r>
        <w:rPr>
          <w:rFonts w:asciiTheme="majorBidi" w:hAnsiTheme="majorBidi" w:cstheme="majorBidi"/>
          <w:sz w:val="24"/>
          <w:szCs w:val="24"/>
        </w:rPr>
        <w:t>U</w:t>
      </w:r>
      <w:r w:rsidR="00214859" w:rsidRPr="00CF7EB8">
        <w:rPr>
          <w:rFonts w:asciiTheme="majorBidi" w:hAnsiTheme="majorBidi" w:cstheme="majorBidi"/>
          <w:sz w:val="24"/>
          <w:szCs w:val="24"/>
        </w:rPr>
        <w:t>tilisation d'une technique spéciale dans la fabrication de produits pharmaceutiques qui minimise la possibilité de contamination par des matières humaines ou étrang</w:t>
      </w:r>
      <w:r>
        <w:rPr>
          <w:rFonts w:asciiTheme="majorBidi" w:hAnsiTheme="majorBidi" w:cstheme="majorBidi"/>
          <w:sz w:val="24"/>
          <w:szCs w:val="24"/>
        </w:rPr>
        <w:t xml:space="preserve">ères pendant la fabrication, </w:t>
      </w:r>
    </w:p>
    <w:p w:rsidR="00214859" w:rsidRPr="00CF7EB8" w:rsidRDefault="00CF7EB8" w:rsidP="00CF7EB8">
      <w:pPr>
        <w:pStyle w:val="Paragraphedeliste"/>
        <w:numPr>
          <w:ilvl w:val="0"/>
          <w:numId w:val="40"/>
        </w:numPr>
        <w:tabs>
          <w:tab w:val="left" w:pos="120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S</w:t>
      </w:r>
      <w:r w:rsidR="00214859" w:rsidRPr="00CF7EB8">
        <w:rPr>
          <w:rFonts w:asciiTheme="majorBidi" w:hAnsiTheme="majorBidi" w:cstheme="majorBidi"/>
          <w:sz w:val="24"/>
          <w:szCs w:val="24"/>
        </w:rPr>
        <w:t xml:space="preserve">térilisation après la fabrication, de préférence dans des contenants scellés finaux commercialisés. </w:t>
      </w:r>
    </w:p>
    <w:p w:rsidR="00AB3F21" w:rsidRPr="00D32C7E" w:rsidRDefault="00214859" w:rsidP="00214859">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Il existe plusieurs méthodes de stérilisation pour les produits parentéraux, notamment la chaleur sèche, la vapeur, la filtration, le gaz et le rayonnement.</w:t>
      </w:r>
    </w:p>
    <w:p w:rsidR="00214859" w:rsidRPr="00D32C7E" w:rsidRDefault="0099545E" w:rsidP="00214859">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IV.2.4.1.  </w:t>
      </w:r>
      <w:r w:rsidR="00214859" w:rsidRPr="00D32C7E">
        <w:rPr>
          <w:rFonts w:asciiTheme="majorBidi" w:hAnsiTheme="majorBidi" w:cstheme="majorBidi"/>
          <w:b/>
          <w:bCs/>
          <w:sz w:val="24"/>
          <w:szCs w:val="24"/>
        </w:rPr>
        <w:t>Filtration</w:t>
      </w:r>
    </w:p>
    <w:p w:rsidR="00214859" w:rsidRPr="00D32C7E" w:rsidRDefault="00214859" w:rsidP="00C279CF">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La stérilisation par filtration est un processus </w:t>
      </w:r>
      <w:r w:rsidR="00C279CF" w:rsidRPr="00C279CF">
        <w:rPr>
          <w:rFonts w:asciiTheme="majorBidi" w:hAnsiTheme="majorBidi" w:cstheme="majorBidi"/>
          <w:sz w:val="24"/>
          <w:szCs w:val="24"/>
        </w:rPr>
        <w:t>qui élimine les microorg</w:t>
      </w:r>
      <w:r w:rsidR="00C279CF">
        <w:rPr>
          <w:rFonts w:asciiTheme="majorBidi" w:hAnsiTheme="majorBidi" w:cstheme="majorBidi"/>
          <w:sz w:val="24"/>
          <w:szCs w:val="24"/>
        </w:rPr>
        <w:t>anismes mais ne les détruit pas</w:t>
      </w:r>
      <w:r w:rsidRPr="00D32C7E">
        <w:rPr>
          <w:rFonts w:asciiTheme="majorBidi" w:hAnsiTheme="majorBidi" w:cstheme="majorBidi"/>
          <w:sz w:val="24"/>
          <w:szCs w:val="24"/>
        </w:rPr>
        <w:t>. La filtration est la méthode de choix pour les solutions instables par rapport à d'autres types de procédés de stérilisation, par exemple les produits thermolabiles.</w:t>
      </w:r>
    </w:p>
    <w:p w:rsidR="0099545E" w:rsidRPr="00D32C7E" w:rsidRDefault="00214859" w:rsidP="00CF7EB8">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Les filtres à membrane d'une taille de pore de 0,22 μm sont couramment utilisés comme filtres stérilisants</w:t>
      </w:r>
      <w:r w:rsidR="0099545E" w:rsidRPr="00D32C7E">
        <w:rPr>
          <w:rFonts w:asciiTheme="majorBidi" w:hAnsiTheme="majorBidi" w:cstheme="majorBidi"/>
          <w:sz w:val="24"/>
          <w:szCs w:val="24"/>
        </w:rPr>
        <w:t xml:space="preserve"> (</w:t>
      </w:r>
      <w:r w:rsidR="0099545E" w:rsidRPr="00D32C7E">
        <w:rPr>
          <w:rFonts w:asciiTheme="majorBidi" w:hAnsiTheme="majorBidi" w:cstheme="majorBidi"/>
          <w:b/>
          <w:bCs/>
          <w:sz w:val="24"/>
          <w:szCs w:val="24"/>
        </w:rPr>
        <w:t>Fig IV.2</w:t>
      </w:r>
      <w:r w:rsidR="0099545E" w:rsidRPr="00D32C7E">
        <w:rPr>
          <w:rFonts w:asciiTheme="majorBidi" w:hAnsiTheme="majorBidi" w:cstheme="majorBidi"/>
          <w:sz w:val="24"/>
          <w:szCs w:val="24"/>
        </w:rPr>
        <w:t>)</w:t>
      </w:r>
      <w:r w:rsidRPr="00D32C7E">
        <w:rPr>
          <w:rFonts w:asciiTheme="majorBidi" w:hAnsiTheme="majorBidi" w:cstheme="majorBidi"/>
          <w:sz w:val="24"/>
          <w:szCs w:val="24"/>
        </w:rPr>
        <w:t>. Cependant, les macromolécules, telles que les protéines et les peptides, peuvent être endommagées par filtration en raison de la contrainte de cisaillement, entraînant une altération de leur structure tridimensionnelle.</w:t>
      </w:r>
      <w:r w:rsidR="00F71AAF" w:rsidRPr="00D32C7E">
        <w:rPr>
          <w:rFonts w:asciiTheme="majorBidi" w:hAnsiTheme="majorBidi" w:cstheme="majorBidi"/>
          <w:sz w:val="24"/>
          <w:szCs w:val="24"/>
        </w:rPr>
        <w:t xml:space="preserve"> </w:t>
      </w:r>
      <w:r w:rsidRPr="00D32C7E">
        <w:rPr>
          <w:rFonts w:asciiTheme="majorBidi" w:hAnsiTheme="majorBidi" w:cstheme="majorBidi"/>
          <w:sz w:val="24"/>
          <w:szCs w:val="24"/>
        </w:rPr>
        <w:t>Dans certains cas, la formulation peut affecter l'intégrité du filtre et le colmatage. En outre, certains filtres adsorbent le médicament. Par conséquent, les interactions médicamenteuses avec le matériau du filtre sont soigneusement étudiées avant de mettre en œuvre cette méthode de stérilisation. Les matériaux de filtre courants comprennent le nylon et le téflon.</w:t>
      </w:r>
    </w:p>
    <w:p w:rsidR="00F71AAF" w:rsidRPr="00D32C7E" w:rsidRDefault="0099545E" w:rsidP="00F71AAF">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IV.2.4.2.  </w:t>
      </w:r>
      <w:r w:rsidR="00F71AAF" w:rsidRPr="00D32C7E">
        <w:rPr>
          <w:rFonts w:asciiTheme="majorBidi" w:hAnsiTheme="majorBidi" w:cstheme="majorBidi"/>
          <w:b/>
          <w:bCs/>
          <w:sz w:val="24"/>
          <w:szCs w:val="24"/>
        </w:rPr>
        <w:t>Stérilisation à la chaleur sèche</w:t>
      </w:r>
    </w:p>
    <w:p w:rsidR="00F71AAF" w:rsidRPr="00D32C7E" w:rsidRDefault="00F71AAF" w:rsidP="00F71AAF">
      <w:pPr>
        <w:tabs>
          <w:tab w:val="left" w:pos="1200"/>
        </w:tabs>
        <w:spacing w:line="360" w:lineRule="auto"/>
        <w:jc w:val="both"/>
        <w:rPr>
          <w:rFonts w:ascii="Times New Roman" w:hAnsi="Times New Roman" w:cs="Times New Roman"/>
          <w:sz w:val="24"/>
          <w:szCs w:val="24"/>
        </w:rPr>
      </w:pPr>
      <w:r w:rsidRPr="00D32C7E">
        <w:rPr>
          <w:rFonts w:asciiTheme="majorBidi" w:hAnsiTheme="majorBidi" w:cstheme="majorBidi"/>
          <w:sz w:val="24"/>
          <w:szCs w:val="24"/>
        </w:rPr>
        <w:t>La stérilisation à la chaleur sèche est la méthode de stérilisation la plus simple et la plus économique. Cependant, cette méthode nécessite une température plus élevée (160 ° C à 250 ° C) et une exposition plus longue (</w:t>
      </w:r>
      <w:r w:rsidRPr="00D32C7E">
        <w:rPr>
          <w:rFonts w:ascii="Cambria Math" w:hAnsi="Cambria Math" w:cs="Cambria Math"/>
          <w:sz w:val="24"/>
          <w:szCs w:val="24"/>
        </w:rPr>
        <w:t>∼</w:t>
      </w:r>
      <w:r w:rsidRPr="00D32C7E">
        <w:rPr>
          <w:rFonts w:ascii="Times New Roman" w:hAnsi="Times New Roman" w:cs="Times New Roman"/>
          <w:sz w:val="24"/>
          <w:szCs w:val="24"/>
        </w:rPr>
        <w:t xml:space="preserve">30 à 180 min) pour obtenir la stérilité. </w:t>
      </w:r>
    </w:p>
    <w:p w:rsidR="00F71AAF" w:rsidRDefault="00F71AAF" w:rsidP="00F71AAF">
      <w:pPr>
        <w:tabs>
          <w:tab w:val="left" w:pos="1200"/>
        </w:tabs>
        <w:spacing w:line="360" w:lineRule="auto"/>
        <w:jc w:val="both"/>
        <w:rPr>
          <w:rFonts w:asciiTheme="majorBidi" w:hAnsiTheme="majorBidi" w:cstheme="majorBidi"/>
          <w:sz w:val="24"/>
          <w:szCs w:val="24"/>
        </w:rPr>
      </w:pPr>
      <w:r w:rsidRPr="00D32C7E">
        <w:rPr>
          <w:rFonts w:ascii="Times New Roman" w:hAnsi="Times New Roman" w:cs="Times New Roman"/>
          <w:sz w:val="24"/>
          <w:szCs w:val="24"/>
        </w:rPr>
        <w:t>Un problème majeur associé à la stérilisation à la chaleur sèche est la distribution non uniforme de</w:t>
      </w:r>
      <w:r w:rsidRPr="00D32C7E">
        <w:rPr>
          <w:rFonts w:asciiTheme="majorBidi" w:hAnsiTheme="majorBidi" w:cstheme="majorBidi"/>
          <w:sz w:val="24"/>
          <w:szCs w:val="24"/>
        </w:rPr>
        <w:t xml:space="preserve"> la température. De plus, la stérilisation à la chaleur sèche ne peut pas être utilisée avec des matériaux sensibles à la chaleur. Il est principalement utilisé pour la stérilisation des équipements de traitement du verre et du métal.</w:t>
      </w:r>
    </w:p>
    <w:p w:rsidR="004A261D" w:rsidRPr="00D32C7E" w:rsidRDefault="004A261D" w:rsidP="004A261D">
      <w:pPr>
        <w:tabs>
          <w:tab w:val="left" w:pos="1200"/>
        </w:tabs>
        <w:spacing w:line="360" w:lineRule="auto"/>
        <w:jc w:val="center"/>
        <w:rPr>
          <w:rFonts w:asciiTheme="majorBidi" w:hAnsiTheme="majorBidi" w:cstheme="majorBidi"/>
          <w:sz w:val="24"/>
          <w:szCs w:val="24"/>
        </w:rPr>
      </w:pPr>
      <w:r w:rsidRPr="00D32C7E">
        <w:rPr>
          <w:rFonts w:asciiTheme="majorBidi" w:hAnsiTheme="majorBidi" w:cstheme="majorBidi"/>
          <w:noProof/>
          <w:sz w:val="24"/>
          <w:szCs w:val="24"/>
        </w:rPr>
        <w:drawing>
          <wp:inline distT="0" distB="0" distL="0" distR="0">
            <wp:extent cx="4582050" cy="2913405"/>
            <wp:effectExtent l="19050" t="0" r="9000" b="0"/>
            <wp:docPr id="2" name="Image 20"/>
            <wp:cNvGraphicFramePr/>
            <a:graphic xmlns:a="http://schemas.openxmlformats.org/drawingml/2006/main">
              <a:graphicData uri="http://schemas.openxmlformats.org/drawingml/2006/picture">
                <pic:pic xmlns:pic="http://schemas.openxmlformats.org/drawingml/2006/picture">
                  <pic:nvPicPr>
                    <pic:cNvPr id="9217" name="Picture 1"/>
                    <pic:cNvPicPr>
                      <a:picLocks noChangeAspect="1" noChangeArrowheads="1"/>
                    </pic:cNvPicPr>
                  </pic:nvPicPr>
                  <pic:blipFill>
                    <a:blip r:embed="rId8"/>
                    <a:srcRect l="3802" t="10132" r="5620" b="25110"/>
                    <a:stretch>
                      <a:fillRect/>
                    </a:stretch>
                  </pic:blipFill>
                  <pic:spPr bwMode="auto">
                    <a:xfrm>
                      <a:off x="0" y="0"/>
                      <a:ext cx="4594364" cy="2921235"/>
                    </a:xfrm>
                    <a:prstGeom prst="rect">
                      <a:avLst/>
                    </a:prstGeom>
                    <a:noFill/>
                    <a:ln w="9525">
                      <a:noFill/>
                      <a:miter lim="800000"/>
                      <a:headEnd/>
                      <a:tailEnd/>
                    </a:ln>
                    <a:effectLst/>
                  </pic:spPr>
                </pic:pic>
              </a:graphicData>
            </a:graphic>
          </wp:inline>
        </w:drawing>
      </w:r>
    </w:p>
    <w:p w:rsidR="004A261D" w:rsidRPr="00D32C7E" w:rsidRDefault="004A261D" w:rsidP="004A261D">
      <w:pPr>
        <w:tabs>
          <w:tab w:val="left" w:pos="1200"/>
        </w:tabs>
        <w:spacing w:line="360" w:lineRule="auto"/>
        <w:jc w:val="center"/>
        <w:rPr>
          <w:rFonts w:asciiTheme="majorBidi" w:hAnsiTheme="majorBidi" w:cstheme="majorBidi"/>
          <w:sz w:val="24"/>
          <w:szCs w:val="24"/>
        </w:rPr>
      </w:pPr>
      <w:r w:rsidRPr="00D32C7E">
        <w:rPr>
          <w:rFonts w:asciiTheme="majorBidi" w:hAnsiTheme="majorBidi" w:cstheme="majorBidi"/>
          <w:b/>
          <w:bCs/>
          <w:sz w:val="24"/>
          <w:szCs w:val="24"/>
        </w:rPr>
        <w:t>Fig IV.2</w:t>
      </w:r>
      <w:r w:rsidRPr="00D32C7E">
        <w:rPr>
          <w:rFonts w:asciiTheme="majorBidi" w:hAnsiTheme="majorBidi" w:cstheme="majorBidi"/>
          <w:sz w:val="24"/>
          <w:szCs w:val="24"/>
        </w:rPr>
        <w:t xml:space="preserve"> Stérilisation par filtration.</w:t>
      </w:r>
    </w:p>
    <w:p w:rsidR="004A261D" w:rsidRPr="00D32C7E" w:rsidRDefault="004A261D" w:rsidP="00F71AAF">
      <w:pPr>
        <w:tabs>
          <w:tab w:val="left" w:pos="1200"/>
        </w:tabs>
        <w:spacing w:line="360" w:lineRule="auto"/>
        <w:jc w:val="both"/>
        <w:rPr>
          <w:rFonts w:asciiTheme="majorBidi" w:hAnsiTheme="majorBidi" w:cstheme="majorBidi"/>
          <w:sz w:val="24"/>
          <w:szCs w:val="24"/>
        </w:rPr>
      </w:pPr>
    </w:p>
    <w:p w:rsidR="00F71AAF" w:rsidRPr="00D32C7E" w:rsidRDefault="0099545E" w:rsidP="00F71AAF">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 xml:space="preserve">IV.2.4.3.  </w:t>
      </w:r>
      <w:r w:rsidR="00F71AAF" w:rsidRPr="00D32C7E">
        <w:rPr>
          <w:rFonts w:asciiTheme="majorBidi" w:hAnsiTheme="majorBidi" w:cstheme="majorBidi"/>
          <w:b/>
          <w:bCs/>
          <w:sz w:val="24"/>
          <w:szCs w:val="24"/>
        </w:rPr>
        <w:t>Stérilisation à la vapeur (autoclavage)</w:t>
      </w:r>
    </w:p>
    <w:p w:rsidR="00CF7EB8" w:rsidRPr="00D32C7E" w:rsidRDefault="00F71AAF" w:rsidP="004A261D">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à la vapeur est réalisée dans un autoclave</w:t>
      </w:r>
      <w:r w:rsidR="0099545E" w:rsidRPr="00D32C7E">
        <w:rPr>
          <w:rFonts w:asciiTheme="majorBidi" w:hAnsiTheme="majorBidi" w:cstheme="majorBidi"/>
          <w:sz w:val="24"/>
          <w:szCs w:val="24"/>
        </w:rPr>
        <w:t xml:space="preserve"> (</w:t>
      </w:r>
      <w:r w:rsidR="0099545E" w:rsidRPr="00D32C7E">
        <w:rPr>
          <w:rFonts w:asciiTheme="majorBidi" w:hAnsiTheme="majorBidi" w:cstheme="majorBidi"/>
          <w:b/>
          <w:bCs/>
          <w:sz w:val="24"/>
          <w:szCs w:val="24"/>
        </w:rPr>
        <w:t>Fig IV.3</w:t>
      </w:r>
      <w:r w:rsidR="0099545E" w:rsidRPr="00D32C7E">
        <w:rPr>
          <w:rFonts w:asciiTheme="majorBidi" w:hAnsiTheme="majorBidi" w:cstheme="majorBidi"/>
          <w:sz w:val="24"/>
          <w:szCs w:val="24"/>
        </w:rPr>
        <w:t>)</w:t>
      </w:r>
      <w:r w:rsidRPr="00D32C7E">
        <w:rPr>
          <w:rFonts w:asciiTheme="majorBidi" w:hAnsiTheme="majorBidi" w:cstheme="majorBidi"/>
          <w:sz w:val="24"/>
          <w:szCs w:val="24"/>
        </w:rPr>
        <w:t xml:space="preserve">, qui est une chambre à </w:t>
      </w:r>
      <w:r w:rsidR="00CF7EB8" w:rsidRPr="00D32C7E">
        <w:rPr>
          <w:rFonts w:asciiTheme="majorBidi" w:hAnsiTheme="majorBidi" w:cstheme="majorBidi"/>
          <w:sz w:val="24"/>
          <w:szCs w:val="24"/>
        </w:rPr>
        <w:t>double enveloppe étanche conçue pour maintenir une haute pression de vapeur chaude saturée, avec</w:t>
      </w:r>
      <w:r w:rsidR="00CF7EB8">
        <w:rPr>
          <w:rFonts w:asciiTheme="majorBidi" w:hAnsiTheme="majorBidi" w:cstheme="majorBidi"/>
          <w:sz w:val="24"/>
          <w:szCs w:val="24"/>
        </w:rPr>
        <w:t xml:space="preserve"> une température typique de 121</w:t>
      </w:r>
      <w:r w:rsidR="00CF7EB8" w:rsidRPr="00D32C7E">
        <w:rPr>
          <w:rFonts w:asciiTheme="majorBidi" w:hAnsiTheme="majorBidi" w:cstheme="majorBidi"/>
          <w:sz w:val="24"/>
          <w:szCs w:val="24"/>
        </w:rPr>
        <w:t xml:space="preserve">° C. La stérilisation à la vapeur est la méthode de choix pour la stérilisation des solutions aqueuses, de la verrerie et des articles en caoutchouc. Cependant, </w:t>
      </w:r>
      <w:r w:rsidR="00CF7EB8">
        <w:rPr>
          <w:rFonts w:asciiTheme="majorBidi" w:hAnsiTheme="majorBidi" w:cstheme="majorBidi"/>
          <w:sz w:val="24"/>
          <w:szCs w:val="24"/>
        </w:rPr>
        <w:t xml:space="preserve">cette méthode </w:t>
      </w:r>
      <w:r w:rsidR="00CF7EB8" w:rsidRPr="00D32C7E">
        <w:rPr>
          <w:rFonts w:asciiTheme="majorBidi" w:hAnsiTheme="majorBidi" w:cstheme="majorBidi"/>
          <w:sz w:val="24"/>
          <w:szCs w:val="24"/>
        </w:rPr>
        <w:t>ne peut pas être utilisée avec des matériaux qui sont des formulations sensibles à la chaleur ou non aqueuses.</w:t>
      </w:r>
    </w:p>
    <w:p w:rsidR="00CF7EB8" w:rsidRPr="00D32C7E" w:rsidRDefault="00CF7EB8" w:rsidP="00CF7EB8">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IV.2.4.4.  Stérilisation par radiation</w:t>
      </w:r>
    </w:p>
    <w:p w:rsidR="00F71AAF" w:rsidRDefault="00CF7EB8" w:rsidP="00CF7EB8">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par rayonnement est réalisée par exposition à la lumière ultraviolette (UV) (</w:t>
      </w:r>
      <w:r w:rsidRPr="00D32C7E">
        <w:rPr>
          <w:rFonts w:asciiTheme="majorBidi" w:hAnsiTheme="majorBidi" w:cstheme="majorBidi"/>
          <w:b/>
          <w:bCs/>
          <w:sz w:val="24"/>
          <w:szCs w:val="24"/>
        </w:rPr>
        <w:t>Fig IV.4A</w:t>
      </w:r>
      <w:r w:rsidRPr="00D32C7E">
        <w:rPr>
          <w:rFonts w:asciiTheme="majorBidi" w:hAnsiTheme="majorBidi" w:cstheme="majorBidi"/>
          <w:sz w:val="24"/>
          <w:szCs w:val="24"/>
        </w:rPr>
        <w:t xml:space="preserve">) ou à un rayonnement ionisant à haute énergie. Le rayonnement UV est utile pour </w:t>
      </w:r>
      <w:r>
        <w:rPr>
          <w:rFonts w:asciiTheme="majorBidi" w:hAnsiTheme="majorBidi" w:cstheme="majorBidi"/>
          <w:sz w:val="24"/>
          <w:szCs w:val="24"/>
        </w:rPr>
        <w:t xml:space="preserve"> </w:t>
      </w:r>
      <w:r w:rsidR="00BE3B59" w:rsidRPr="00D32C7E">
        <w:rPr>
          <w:rFonts w:asciiTheme="majorBidi" w:hAnsiTheme="majorBidi" w:cstheme="majorBidi"/>
          <w:sz w:val="24"/>
          <w:szCs w:val="24"/>
        </w:rPr>
        <w:t xml:space="preserve">réduire le nombre de micro-organismes en suspension dans l'air. Les micro-organismes sont souvent </w:t>
      </w:r>
      <w:r w:rsidR="00F71AAF" w:rsidRPr="00D32C7E">
        <w:rPr>
          <w:rFonts w:asciiTheme="majorBidi" w:hAnsiTheme="majorBidi" w:cstheme="majorBidi"/>
          <w:sz w:val="24"/>
          <w:szCs w:val="24"/>
        </w:rPr>
        <w:t>tués en utilisant des rayons β</w:t>
      </w:r>
      <w:r w:rsidR="00A0543B" w:rsidRPr="00D32C7E">
        <w:rPr>
          <w:rFonts w:asciiTheme="majorBidi" w:hAnsiTheme="majorBidi" w:cstheme="majorBidi"/>
          <w:sz w:val="24"/>
          <w:szCs w:val="24"/>
        </w:rPr>
        <w:t xml:space="preserve"> (</w:t>
      </w:r>
      <w:r w:rsidR="00A0543B" w:rsidRPr="00D32C7E">
        <w:rPr>
          <w:rFonts w:asciiTheme="majorBidi" w:hAnsiTheme="majorBidi" w:cstheme="majorBidi"/>
          <w:b/>
          <w:bCs/>
          <w:sz w:val="24"/>
          <w:szCs w:val="24"/>
        </w:rPr>
        <w:t>Fig IV.4</w:t>
      </w:r>
      <w:r w:rsidR="00320992" w:rsidRPr="00D32C7E">
        <w:rPr>
          <w:rFonts w:asciiTheme="majorBidi" w:hAnsiTheme="majorBidi" w:cstheme="majorBidi"/>
          <w:b/>
          <w:bCs/>
          <w:sz w:val="24"/>
          <w:szCs w:val="24"/>
        </w:rPr>
        <w:t>B</w:t>
      </w:r>
      <w:r w:rsidR="00A0543B" w:rsidRPr="00D32C7E">
        <w:rPr>
          <w:rFonts w:asciiTheme="majorBidi" w:hAnsiTheme="majorBidi" w:cstheme="majorBidi"/>
          <w:sz w:val="24"/>
          <w:szCs w:val="24"/>
        </w:rPr>
        <w:t>)</w:t>
      </w:r>
      <w:r w:rsidR="00F71AAF" w:rsidRPr="00D32C7E">
        <w:rPr>
          <w:rFonts w:asciiTheme="majorBidi" w:hAnsiTheme="majorBidi" w:cstheme="majorBidi"/>
          <w:sz w:val="24"/>
          <w:szCs w:val="24"/>
        </w:rPr>
        <w:t>, des rayons γ, des rayons X et des faisceaux d'électrons accélérés. Les médicaments thermolabiles, tels que la pénicilline, la streptomycine, la thiamine et la riboflavine ont été efficacement stérilisés par rayonnement ionisant. Cependant, les pharmaciens de détail et d'hôpitaux ont peu de possibilités d'utiliser la stérilisation par rayonnement.</w:t>
      </w:r>
    </w:p>
    <w:p w:rsidR="004A261D" w:rsidRPr="00D32C7E" w:rsidRDefault="004A261D" w:rsidP="004A261D">
      <w:pPr>
        <w:tabs>
          <w:tab w:val="left" w:pos="1200"/>
        </w:tabs>
        <w:spacing w:line="360" w:lineRule="auto"/>
        <w:jc w:val="center"/>
        <w:rPr>
          <w:rFonts w:asciiTheme="majorBidi" w:hAnsiTheme="majorBidi" w:cstheme="majorBidi"/>
          <w:sz w:val="24"/>
          <w:szCs w:val="24"/>
        </w:rPr>
      </w:pPr>
      <w:r w:rsidRPr="00D32C7E">
        <w:rPr>
          <w:rFonts w:asciiTheme="majorBidi" w:hAnsiTheme="majorBidi" w:cstheme="majorBidi"/>
          <w:noProof/>
          <w:sz w:val="24"/>
          <w:szCs w:val="24"/>
        </w:rPr>
        <w:drawing>
          <wp:inline distT="0" distB="0" distL="0" distR="0">
            <wp:extent cx="2033034" cy="3051544"/>
            <wp:effectExtent l="19050" t="0" r="5316" b="0"/>
            <wp:docPr id="5" name="Image 2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a:blip r:embed="rId9">
                      <a:lum contrast="30000"/>
                    </a:blip>
                    <a:srcRect/>
                    <a:stretch>
                      <a:fillRect/>
                    </a:stretch>
                  </pic:blipFill>
                  <pic:spPr bwMode="auto">
                    <a:xfrm>
                      <a:off x="0" y="0"/>
                      <a:ext cx="2036053" cy="3056075"/>
                    </a:xfrm>
                    <a:prstGeom prst="rect">
                      <a:avLst/>
                    </a:prstGeom>
                    <a:noFill/>
                    <a:ln w="9525">
                      <a:noFill/>
                      <a:miter lim="800000"/>
                      <a:headEnd/>
                      <a:tailEnd/>
                    </a:ln>
                    <a:effectLst/>
                  </pic:spPr>
                </pic:pic>
              </a:graphicData>
            </a:graphic>
          </wp:inline>
        </w:drawing>
      </w:r>
    </w:p>
    <w:p w:rsidR="004A261D" w:rsidRDefault="004A261D" w:rsidP="004A261D">
      <w:pPr>
        <w:tabs>
          <w:tab w:val="left" w:pos="1200"/>
        </w:tabs>
        <w:spacing w:line="360" w:lineRule="auto"/>
        <w:jc w:val="center"/>
        <w:rPr>
          <w:rFonts w:asciiTheme="majorBidi" w:hAnsiTheme="majorBidi" w:cstheme="majorBidi"/>
          <w:sz w:val="24"/>
          <w:szCs w:val="24"/>
        </w:rPr>
      </w:pPr>
      <w:r w:rsidRPr="00D32C7E">
        <w:rPr>
          <w:rFonts w:asciiTheme="majorBidi" w:hAnsiTheme="majorBidi" w:cstheme="majorBidi"/>
          <w:b/>
          <w:bCs/>
          <w:sz w:val="24"/>
          <w:szCs w:val="24"/>
        </w:rPr>
        <w:t>Fig IV.3</w:t>
      </w:r>
      <w:r w:rsidRPr="00D32C7E">
        <w:rPr>
          <w:rFonts w:asciiTheme="majorBidi" w:hAnsiTheme="majorBidi" w:cstheme="majorBidi"/>
          <w:sz w:val="24"/>
          <w:szCs w:val="24"/>
        </w:rPr>
        <w:t xml:space="preserve"> Autoclave.</w:t>
      </w:r>
    </w:p>
    <w:p w:rsidR="004A261D" w:rsidRPr="00D32C7E" w:rsidRDefault="004A261D" w:rsidP="00CF7EB8">
      <w:pPr>
        <w:tabs>
          <w:tab w:val="left" w:pos="1200"/>
        </w:tabs>
        <w:spacing w:line="360" w:lineRule="auto"/>
        <w:jc w:val="both"/>
        <w:rPr>
          <w:rFonts w:asciiTheme="majorBidi" w:hAnsiTheme="majorBidi" w:cstheme="majorBidi"/>
          <w:sz w:val="24"/>
          <w:szCs w:val="24"/>
        </w:rPr>
      </w:pPr>
    </w:p>
    <w:p w:rsidR="004A261D" w:rsidRPr="00D32C7E" w:rsidRDefault="004A261D" w:rsidP="004A261D">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noProof/>
          <w:sz w:val="24"/>
          <w:szCs w:val="24"/>
        </w:rPr>
        <w:lastRenderedPageBreak/>
        <w:drawing>
          <wp:inline distT="0" distB="0" distL="0" distR="0">
            <wp:extent cx="5476927" cy="2636874"/>
            <wp:effectExtent l="19050" t="0" r="9473"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494152" cy="2645167"/>
                    </a:xfrm>
                    <a:prstGeom prst="rect">
                      <a:avLst/>
                    </a:prstGeom>
                    <a:noFill/>
                  </pic:spPr>
                </pic:pic>
              </a:graphicData>
            </a:graphic>
          </wp:inline>
        </w:drawing>
      </w:r>
    </w:p>
    <w:p w:rsidR="004A261D" w:rsidRPr="004A261D" w:rsidRDefault="004A261D" w:rsidP="004A261D">
      <w:pPr>
        <w:tabs>
          <w:tab w:val="left" w:pos="1200"/>
        </w:tabs>
        <w:spacing w:line="360" w:lineRule="auto"/>
        <w:jc w:val="center"/>
        <w:rPr>
          <w:rFonts w:asciiTheme="majorBidi" w:hAnsiTheme="majorBidi" w:cstheme="majorBidi"/>
          <w:sz w:val="24"/>
          <w:szCs w:val="24"/>
        </w:rPr>
      </w:pPr>
      <w:r w:rsidRPr="00D32C7E">
        <w:rPr>
          <w:rFonts w:asciiTheme="majorBidi" w:hAnsiTheme="majorBidi" w:cstheme="majorBidi"/>
          <w:b/>
          <w:bCs/>
          <w:sz w:val="24"/>
          <w:szCs w:val="24"/>
        </w:rPr>
        <w:t>Fig IV.4</w:t>
      </w:r>
      <w:r w:rsidRPr="00D32C7E">
        <w:rPr>
          <w:rFonts w:asciiTheme="majorBidi" w:hAnsiTheme="majorBidi" w:cstheme="majorBidi"/>
          <w:sz w:val="24"/>
          <w:szCs w:val="24"/>
        </w:rPr>
        <w:t xml:space="preserve"> Stérilisation par UV (A) et par les rayons β (B).</w:t>
      </w:r>
    </w:p>
    <w:p w:rsidR="006E494A" w:rsidRPr="00D32C7E" w:rsidRDefault="00320992" w:rsidP="00320992">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IV.2.5. </w:t>
      </w:r>
      <w:r w:rsidR="006E494A" w:rsidRPr="00D32C7E">
        <w:rPr>
          <w:rFonts w:asciiTheme="majorBidi" w:hAnsiTheme="majorBidi" w:cstheme="majorBidi"/>
          <w:b/>
          <w:bCs/>
          <w:sz w:val="24"/>
          <w:szCs w:val="24"/>
        </w:rPr>
        <w:t>Conditionnement des préparations injectables</w:t>
      </w:r>
    </w:p>
    <w:p w:rsidR="006E494A" w:rsidRDefault="006E494A" w:rsidP="006E494A">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sz w:val="24"/>
          <w:szCs w:val="24"/>
        </w:rPr>
        <w:t xml:space="preserve">Afin de maintenir un produit stérile, le type de récipient utilisé nécessite une attention particulière. Les injections peuvent être conservées dans des </w:t>
      </w:r>
      <w:r w:rsidRPr="00D32C7E">
        <w:rPr>
          <w:rFonts w:asciiTheme="majorBidi" w:hAnsiTheme="majorBidi" w:cstheme="majorBidi"/>
          <w:b/>
          <w:bCs/>
          <w:sz w:val="24"/>
          <w:szCs w:val="24"/>
        </w:rPr>
        <w:t>flacons unidoses ou multidoses.</w:t>
      </w:r>
    </w:p>
    <w:p w:rsidR="006E494A" w:rsidRPr="00D32C7E" w:rsidRDefault="006E494A" w:rsidP="006E494A">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contenants à dose unique ne restent pas stériles à l'ouverture; cependant, les flacons multidoses peuvent être introduits à plusieurs reprises sans compromettre l'intégrité du produit. Les récipients unidoses comprennent des flacons et </w:t>
      </w:r>
      <w:r w:rsidRPr="00D32C7E">
        <w:rPr>
          <w:rFonts w:asciiTheme="majorBidi" w:hAnsiTheme="majorBidi" w:cstheme="majorBidi"/>
          <w:b/>
          <w:bCs/>
          <w:sz w:val="24"/>
          <w:szCs w:val="24"/>
        </w:rPr>
        <w:t>ampoules unidoses</w:t>
      </w:r>
      <w:r w:rsidRPr="00D32C7E">
        <w:rPr>
          <w:rFonts w:asciiTheme="majorBidi" w:hAnsiTheme="majorBidi" w:cstheme="majorBidi"/>
          <w:sz w:val="24"/>
          <w:szCs w:val="24"/>
        </w:rPr>
        <w:t>.</w:t>
      </w:r>
    </w:p>
    <w:p w:rsidR="006E494A" w:rsidRPr="00D32C7E" w:rsidRDefault="006E494A" w:rsidP="006E494A">
      <w:p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Le produit des ampoules doit être prélevé à l'aide d'une aiguille filtrante, en raison de la présence possible de particules de verre. Il est important que le contenant ne réagisse pas avec le produit médicamenteux stérile et que le contenant permette une inspection facile du produit pour vérifier la présence de particules.</w:t>
      </w:r>
    </w:p>
    <w:p w:rsidR="006E494A" w:rsidRPr="00D32C7E" w:rsidRDefault="00320992" w:rsidP="00320992">
      <w:p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IV.2.5.1. </w:t>
      </w:r>
      <w:r w:rsidR="006E494A" w:rsidRPr="00D32C7E">
        <w:rPr>
          <w:rFonts w:asciiTheme="majorBidi" w:hAnsiTheme="majorBidi" w:cstheme="majorBidi"/>
          <w:b/>
          <w:bCs/>
          <w:sz w:val="24"/>
          <w:szCs w:val="24"/>
        </w:rPr>
        <w:t xml:space="preserve">Articles de conditionnement </w:t>
      </w:r>
    </w:p>
    <w:p w:rsidR="006E494A" w:rsidRPr="00D32C7E" w:rsidRDefault="006E494A" w:rsidP="006E494A">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C’est essentiellement le verre qui est utilisé pour la confection des flacons et des ampoules pour ses qualités de transparence, de dureté et de stabilité. C’est les verres de type I et II qui sont utilisés pour contenir les préparations injectables aqueuses. Le verre de type III est réservé aux préparations à solvant non aqueux ou sert à contenir les poudres pour préparations injectables qui seront mises en solution ou en suspension au moment de l’emploi. </w:t>
      </w:r>
    </w:p>
    <w:p w:rsidR="006E494A" w:rsidRPr="00D32C7E" w:rsidRDefault="006E494A" w:rsidP="00E61886">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matières plastiques, souples et plus légères sont de plus en plus utilisées dans le conditionnement des préparations injectables. Les poches en PVC ont supplanté les flacons en </w:t>
      </w:r>
      <w:r w:rsidRPr="00D32C7E">
        <w:rPr>
          <w:rFonts w:asciiTheme="majorBidi" w:hAnsiTheme="majorBidi" w:cstheme="majorBidi"/>
          <w:sz w:val="24"/>
          <w:szCs w:val="24"/>
        </w:rPr>
        <w:lastRenderedPageBreak/>
        <w:t xml:space="preserve">verre pour perfusion. </w:t>
      </w:r>
      <w:r w:rsidR="00CF7EB8">
        <w:rPr>
          <w:rFonts w:asciiTheme="majorBidi" w:hAnsiTheme="majorBidi" w:cstheme="majorBidi"/>
          <w:sz w:val="24"/>
          <w:szCs w:val="24"/>
        </w:rPr>
        <w:t>Les s</w:t>
      </w:r>
      <w:r w:rsidRPr="00D32C7E">
        <w:rPr>
          <w:rFonts w:asciiTheme="majorBidi" w:hAnsiTheme="majorBidi" w:cstheme="majorBidi"/>
          <w:sz w:val="24"/>
          <w:szCs w:val="24"/>
        </w:rPr>
        <w:t xml:space="preserve">eringues et </w:t>
      </w:r>
      <w:r w:rsidR="00CF7EB8">
        <w:rPr>
          <w:rFonts w:asciiTheme="majorBidi" w:hAnsiTheme="majorBidi" w:cstheme="majorBidi"/>
          <w:sz w:val="24"/>
          <w:szCs w:val="24"/>
        </w:rPr>
        <w:t xml:space="preserve">les </w:t>
      </w:r>
      <w:r w:rsidRPr="00D32C7E">
        <w:rPr>
          <w:rFonts w:asciiTheme="majorBidi" w:hAnsiTheme="majorBidi" w:cstheme="majorBidi"/>
          <w:sz w:val="24"/>
          <w:szCs w:val="24"/>
        </w:rPr>
        <w:t>cartouches pré remplies sont souvent en matière plastique</w:t>
      </w:r>
      <w:r w:rsidR="00E61886" w:rsidRPr="00D32C7E">
        <w:rPr>
          <w:rFonts w:asciiTheme="majorBidi" w:hAnsiTheme="majorBidi" w:cstheme="majorBidi"/>
          <w:sz w:val="24"/>
          <w:szCs w:val="24"/>
        </w:rPr>
        <w:t>.</w:t>
      </w:r>
    </w:p>
    <w:p w:rsidR="00E61886" w:rsidRPr="00D32C7E" w:rsidRDefault="00D2702D" w:rsidP="00D2702D">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 </w:t>
      </w:r>
      <w:r w:rsidR="00E61886" w:rsidRPr="00D32C7E">
        <w:rPr>
          <w:rFonts w:asciiTheme="majorBidi" w:hAnsiTheme="majorBidi" w:cstheme="majorBidi"/>
          <w:b/>
          <w:bCs/>
          <w:sz w:val="24"/>
          <w:szCs w:val="24"/>
        </w:rPr>
        <w:t>Les collyres</w:t>
      </w:r>
    </w:p>
    <w:p w:rsidR="00AB3F21" w:rsidRPr="00D32C7E" w:rsidRDefault="00320992"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IV.3.1. </w:t>
      </w:r>
      <w:r w:rsidR="00AB3F21" w:rsidRPr="00D32C7E">
        <w:rPr>
          <w:rFonts w:asciiTheme="majorBidi" w:hAnsiTheme="majorBidi" w:cstheme="majorBidi"/>
          <w:b/>
          <w:bCs/>
          <w:sz w:val="24"/>
          <w:szCs w:val="24"/>
        </w:rPr>
        <w:t xml:space="preserve">Définition </w:t>
      </w:r>
    </w:p>
    <w:p w:rsidR="00CF7EB8" w:rsidRPr="00D32C7E" w:rsidRDefault="00AB3F21" w:rsidP="004A261D">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collyres sont des solutions ou des suspensions stériles, aqueuses ou huileuses, contenant une ou  plusieurs substances médicamenteuses destinées à l’instillation oculaire. Dans des cas particuliers et compte tenu de la stabilité de la ou des substances actives dans la préparation finale, la ou les substances médicamenteuses stériles peuvent être présentées à l’état sec et être mises en solution ou</w:t>
      </w:r>
      <w:r w:rsidR="00CF7EB8">
        <w:rPr>
          <w:rFonts w:asciiTheme="majorBidi" w:hAnsiTheme="majorBidi" w:cstheme="majorBidi"/>
          <w:sz w:val="24"/>
          <w:szCs w:val="24"/>
        </w:rPr>
        <w:t xml:space="preserve"> en</w:t>
      </w:r>
      <w:r w:rsidRPr="00D32C7E">
        <w:rPr>
          <w:rFonts w:asciiTheme="majorBidi" w:hAnsiTheme="majorBidi" w:cstheme="majorBidi"/>
          <w:sz w:val="24"/>
          <w:szCs w:val="24"/>
        </w:rPr>
        <w:t xml:space="preserve"> suspension dans le liquide stérile approprié, immédiatement avant l’emploi. Les collyres sont préparés avec des matières premières et par une méthode qui assurent leur stérilité et évitent l’introduction de contaminants ainsi que la croissance de microorganismes.</w:t>
      </w:r>
    </w:p>
    <w:p w:rsidR="00AB3F21" w:rsidRPr="00D32C7E" w:rsidRDefault="007B0786"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IV.3.2. </w:t>
      </w:r>
      <w:r w:rsidR="00AB3F21" w:rsidRPr="00D32C7E">
        <w:rPr>
          <w:rFonts w:asciiTheme="majorBidi" w:hAnsiTheme="majorBidi" w:cstheme="majorBidi"/>
          <w:b/>
          <w:bCs/>
          <w:sz w:val="24"/>
          <w:szCs w:val="24"/>
        </w:rPr>
        <w:t>Propriétés des collyres</w:t>
      </w:r>
    </w:p>
    <w:p w:rsidR="00144CDA" w:rsidRDefault="00AB3F21" w:rsidP="00144CDA">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Comme les préparations injectables, </w:t>
      </w:r>
      <w:r w:rsidR="00144CDA" w:rsidRPr="00144CDA">
        <w:rPr>
          <w:rFonts w:asciiTheme="majorBidi" w:hAnsiTheme="majorBidi" w:cstheme="majorBidi"/>
          <w:sz w:val="24"/>
          <w:szCs w:val="24"/>
        </w:rPr>
        <w:t>les collyres devant être en contact avec les liquides de l’organisme possède</w:t>
      </w:r>
      <w:r w:rsidR="00CF7EB8">
        <w:rPr>
          <w:rFonts w:asciiTheme="majorBidi" w:hAnsiTheme="majorBidi" w:cstheme="majorBidi"/>
          <w:sz w:val="24"/>
          <w:szCs w:val="24"/>
        </w:rPr>
        <w:t>nt</w:t>
      </w:r>
      <w:r w:rsidR="00144CDA" w:rsidRPr="00144CDA">
        <w:rPr>
          <w:rFonts w:asciiTheme="majorBidi" w:hAnsiTheme="majorBidi" w:cstheme="majorBidi"/>
          <w:sz w:val="24"/>
          <w:szCs w:val="24"/>
        </w:rPr>
        <w:t xml:space="preserve"> certaines propriétés : limpides (pour les solutions), neutres, isotoniques aux larmes et stériles</w:t>
      </w:r>
      <w:r w:rsidR="00144CDA">
        <w:rPr>
          <w:rFonts w:asciiTheme="majorBidi" w:hAnsiTheme="majorBidi" w:cstheme="majorBidi"/>
          <w:sz w:val="24"/>
          <w:szCs w:val="24"/>
        </w:rPr>
        <w:t>.</w:t>
      </w:r>
    </w:p>
    <w:p w:rsidR="00AB3F21" w:rsidRPr="00144CDA" w:rsidRDefault="007B0786" w:rsidP="00144CDA">
      <w:pPr>
        <w:spacing w:line="360" w:lineRule="auto"/>
        <w:jc w:val="both"/>
        <w:rPr>
          <w:rFonts w:asciiTheme="majorBidi" w:hAnsiTheme="majorBidi" w:cstheme="majorBidi"/>
          <w:sz w:val="24"/>
          <w:szCs w:val="24"/>
        </w:rPr>
      </w:pPr>
      <w:r w:rsidRPr="00D32C7E">
        <w:rPr>
          <w:rFonts w:asciiTheme="majorBidi" w:hAnsiTheme="majorBidi" w:cstheme="majorBidi"/>
          <w:b/>
          <w:bCs/>
          <w:sz w:val="24"/>
          <w:szCs w:val="24"/>
        </w:rPr>
        <w:t xml:space="preserve">IV.3.2.1. Limpides </w:t>
      </w:r>
    </w:p>
    <w:p w:rsidR="00AB3F21" w:rsidRPr="00D32C7E" w:rsidRDefault="00AB3F21" w:rsidP="00AB3F21">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collyres solutions ne doivent pas avoir de particules en suspension ni changer de couleur avec le temps. Les particules des suspensions ne doivent pas dépasser certaines limites (la taille moyenne est de l’ordre de 25 à 50 micromètres). </w:t>
      </w:r>
    </w:p>
    <w:p w:rsidR="00AB3F21" w:rsidRPr="00D32C7E" w:rsidRDefault="007B0786" w:rsidP="00AB3F21">
      <w:pPr>
        <w:spacing w:line="360" w:lineRule="auto"/>
        <w:jc w:val="both"/>
        <w:rPr>
          <w:rFonts w:asciiTheme="majorBidi" w:hAnsiTheme="majorBidi" w:cstheme="majorBidi"/>
          <w:sz w:val="24"/>
          <w:szCs w:val="24"/>
        </w:rPr>
      </w:pPr>
      <w:r w:rsidRPr="00D32C7E">
        <w:rPr>
          <w:rFonts w:asciiTheme="majorBidi" w:hAnsiTheme="majorBidi" w:cstheme="majorBidi"/>
          <w:b/>
          <w:bCs/>
          <w:sz w:val="24"/>
          <w:szCs w:val="24"/>
        </w:rPr>
        <w:t xml:space="preserve">IV.3.2.2.  </w:t>
      </w:r>
      <w:r w:rsidR="00AB3F21" w:rsidRPr="00D32C7E">
        <w:rPr>
          <w:rFonts w:asciiTheme="majorBidi" w:hAnsiTheme="majorBidi" w:cstheme="majorBidi"/>
          <w:b/>
          <w:bCs/>
          <w:sz w:val="24"/>
          <w:szCs w:val="24"/>
        </w:rPr>
        <w:t>Neutres</w:t>
      </w:r>
      <w:r w:rsidRPr="00D32C7E">
        <w:rPr>
          <w:rFonts w:asciiTheme="majorBidi" w:hAnsiTheme="majorBidi" w:cstheme="majorBidi"/>
          <w:sz w:val="24"/>
          <w:szCs w:val="24"/>
        </w:rPr>
        <w:t xml:space="preserve"> </w:t>
      </w:r>
    </w:p>
    <w:p w:rsidR="00AB3F21" w:rsidRDefault="00AB3F21" w:rsidP="00AB3F21">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Chaque fois que le pH du collyre peut être amené au voisinage de la neutralité, il</w:t>
      </w:r>
      <w:r w:rsidR="00DA66EE" w:rsidRPr="00D32C7E">
        <w:rPr>
          <w:rFonts w:asciiTheme="majorBidi" w:hAnsiTheme="majorBidi" w:cstheme="majorBidi"/>
          <w:sz w:val="24"/>
          <w:szCs w:val="24"/>
        </w:rPr>
        <w:t xml:space="preserve"> </w:t>
      </w:r>
      <w:r w:rsidRPr="00D32C7E">
        <w:rPr>
          <w:rFonts w:asciiTheme="majorBidi" w:hAnsiTheme="majorBidi" w:cstheme="majorBidi"/>
          <w:sz w:val="24"/>
          <w:szCs w:val="24"/>
        </w:rPr>
        <w:t xml:space="preserve">faut le faire. Lorsque le principe actif en solution n’est pas stable à un pH neutre, il faut opter pour un compromis : ajuster à un pH qui assure une stabilité acceptable et qui sera facilement supporté par l’œil. L’ajustement du pH se fait par addition de NaOH ou HCl. L’ajout d’un mélange tampon peut être nécessaire : on fera appel le plus souvent au mélange acide borique – borate de sodium. </w:t>
      </w:r>
    </w:p>
    <w:p w:rsidR="004A261D" w:rsidRPr="00D32C7E" w:rsidRDefault="004A261D" w:rsidP="00AB3F21">
      <w:pPr>
        <w:spacing w:line="360" w:lineRule="auto"/>
        <w:jc w:val="both"/>
        <w:rPr>
          <w:rFonts w:asciiTheme="majorBidi" w:hAnsiTheme="majorBidi" w:cstheme="majorBidi"/>
          <w:sz w:val="24"/>
          <w:szCs w:val="24"/>
        </w:rPr>
      </w:pPr>
    </w:p>
    <w:p w:rsidR="00AB3F21" w:rsidRPr="00D32C7E" w:rsidRDefault="007B0786"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 xml:space="preserve">IV.3.2.3. Isotoniques </w:t>
      </w:r>
      <w:r w:rsidR="00AB3F21" w:rsidRPr="00D32C7E">
        <w:rPr>
          <w:rFonts w:asciiTheme="majorBidi" w:hAnsiTheme="majorBidi" w:cstheme="majorBidi"/>
          <w:b/>
          <w:bCs/>
          <w:sz w:val="24"/>
          <w:szCs w:val="24"/>
        </w:rPr>
        <w:t xml:space="preserve"> </w:t>
      </w:r>
    </w:p>
    <w:p w:rsidR="00AB3F21" w:rsidRPr="00D32C7E" w:rsidRDefault="00AB3F21" w:rsidP="00AE4BD7">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larmes ont la même pression osmotique</w:t>
      </w:r>
      <w:r w:rsidR="00DA66EE" w:rsidRPr="00D32C7E">
        <w:rPr>
          <w:rFonts w:asciiTheme="majorBidi" w:hAnsiTheme="majorBidi" w:cstheme="majorBidi"/>
          <w:sz w:val="24"/>
          <w:szCs w:val="24"/>
        </w:rPr>
        <w:t xml:space="preserve"> qu’une solution à 9 %</w:t>
      </w:r>
      <w:r w:rsidRPr="00D32C7E">
        <w:rPr>
          <w:rFonts w:asciiTheme="majorBidi" w:hAnsiTheme="majorBidi" w:cstheme="majorBidi"/>
          <w:sz w:val="24"/>
          <w:szCs w:val="24"/>
        </w:rPr>
        <w:t xml:space="preserve"> de</w:t>
      </w:r>
      <w:r w:rsidR="00AE4BD7">
        <w:rPr>
          <w:rFonts w:asciiTheme="majorBidi" w:hAnsiTheme="majorBidi" w:cstheme="majorBidi"/>
          <w:sz w:val="24"/>
          <w:szCs w:val="24"/>
        </w:rPr>
        <w:t xml:space="preserve"> NaCl</w:t>
      </w:r>
      <w:r w:rsidRPr="00D32C7E">
        <w:rPr>
          <w:rFonts w:asciiTheme="majorBidi" w:hAnsiTheme="majorBidi" w:cstheme="majorBidi"/>
          <w:sz w:val="24"/>
          <w:szCs w:val="24"/>
        </w:rPr>
        <w:t xml:space="preserve">. Autant que possible, un collyre devrait avoir cette concentration isotonique. Cependant, on sait que l’œil, sauf s’il est lésé, peut </w:t>
      </w:r>
      <w:r w:rsidR="00AE4BD7">
        <w:rPr>
          <w:rFonts w:asciiTheme="majorBidi" w:hAnsiTheme="majorBidi" w:cstheme="majorBidi"/>
          <w:sz w:val="24"/>
          <w:szCs w:val="24"/>
        </w:rPr>
        <w:t>tolérer des écarts allant de 5-</w:t>
      </w:r>
      <w:r w:rsidRPr="00D32C7E">
        <w:rPr>
          <w:rFonts w:asciiTheme="majorBidi" w:hAnsiTheme="majorBidi" w:cstheme="majorBidi"/>
          <w:sz w:val="24"/>
          <w:szCs w:val="24"/>
        </w:rPr>
        <w:t xml:space="preserve">15 </w:t>
      </w:r>
      <w:r w:rsidR="00DA66EE" w:rsidRPr="00D32C7E">
        <w:rPr>
          <w:rFonts w:asciiTheme="majorBidi" w:hAnsiTheme="majorBidi" w:cstheme="majorBidi"/>
          <w:sz w:val="24"/>
          <w:szCs w:val="24"/>
        </w:rPr>
        <w:t xml:space="preserve">% </w:t>
      </w:r>
      <w:r w:rsidRPr="00D32C7E">
        <w:rPr>
          <w:rFonts w:asciiTheme="majorBidi" w:hAnsiTheme="majorBidi" w:cstheme="majorBidi"/>
          <w:sz w:val="24"/>
          <w:szCs w:val="24"/>
        </w:rPr>
        <w:t>de NaCl sans sensation de douleur et sans larmoiement. L’ajustement à l’isotonie se fait, comme</w:t>
      </w:r>
      <w:r w:rsidR="00DA66EE" w:rsidRPr="00D32C7E">
        <w:rPr>
          <w:rFonts w:asciiTheme="majorBidi" w:hAnsiTheme="majorBidi" w:cstheme="majorBidi"/>
          <w:sz w:val="24"/>
          <w:szCs w:val="24"/>
        </w:rPr>
        <w:t xml:space="preserve"> </w:t>
      </w:r>
      <w:r w:rsidRPr="00D32C7E">
        <w:rPr>
          <w:rFonts w:asciiTheme="majorBidi" w:hAnsiTheme="majorBidi" w:cstheme="majorBidi"/>
          <w:sz w:val="24"/>
          <w:szCs w:val="24"/>
        </w:rPr>
        <w:t>pour les préparations injectables, par l’addi</w:t>
      </w:r>
      <w:r w:rsidR="00AE4BD7">
        <w:rPr>
          <w:rFonts w:asciiTheme="majorBidi" w:hAnsiTheme="majorBidi" w:cstheme="majorBidi"/>
          <w:sz w:val="24"/>
          <w:szCs w:val="24"/>
        </w:rPr>
        <w:t xml:space="preserve">tion d’un sel (le plus souvent </w:t>
      </w:r>
      <w:r w:rsidRPr="00D32C7E">
        <w:rPr>
          <w:rFonts w:asciiTheme="majorBidi" w:hAnsiTheme="majorBidi" w:cstheme="majorBidi"/>
          <w:sz w:val="24"/>
          <w:szCs w:val="24"/>
        </w:rPr>
        <w:t xml:space="preserve">NaCl). </w:t>
      </w:r>
    </w:p>
    <w:p w:rsidR="00AB3F21" w:rsidRPr="00D32C7E" w:rsidRDefault="007B0786"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IV.3.2.4. Stériles </w:t>
      </w:r>
    </w:p>
    <w:p w:rsidR="00BF0402" w:rsidRPr="00D32C7E" w:rsidRDefault="00AB3F21" w:rsidP="004A261D">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collyres doivent être stériles. Le fait que les collyres soient utilisés en plusieurs fois et qu’à chaque fois il y a risque de contamination, on peut ajouter des antiseptiques et des antifongiques, obligatoirement compatibles avec les autres composants et actifs à faible dose. Pour plus de précautions, un collyre ne devrait pas être</w:t>
      </w:r>
      <w:r w:rsidR="002E4E8C" w:rsidRPr="00D32C7E">
        <w:rPr>
          <w:rFonts w:asciiTheme="majorBidi" w:hAnsiTheme="majorBidi" w:cstheme="majorBidi"/>
          <w:sz w:val="24"/>
          <w:szCs w:val="24"/>
        </w:rPr>
        <w:t xml:space="preserve"> </w:t>
      </w:r>
      <w:r w:rsidRPr="00D32C7E">
        <w:rPr>
          <w:rFonts w:asciiTheme="majorBidi" w:hAnsiTheme="majorBidi" w:cstheme="majorBidi"/>
          <w:sz w:val="24"/>
          <w:szCs w:val="24"/>
        </w:rPr>
        <w:t xml:space="preserve">utilisé au-delà de 15 jours après l’ouverture du récipient qui le contient. </w:t>
      </w:r>
    </w:p>
    <w:p w:rsidR="00AB3F21" w:rsidRPr="00D32C7E" w:rsidRDefault="007B0786"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IV.3.3. </w:t>
      </w:r>
      <w:r w:rsidR="00AB3F21" w:rsidRPr="00D32C7E">
        <w:rPr>
          <w:rFonts w:asciiTheme="majorBidi" w:hAnsiTheme="majorBidi" w:cstheme="majorBidi"/>
          <w:b/>
          <w:bCs/>
          <w:sz w:val="24"/>
          <w:szCs w:val="24"/>
        </w:rPr>
        <w:t xml:space="preserve">Préparation des collyres </w:t>
      </w:r>
    </w:p>
    <w:p w:rsidR="00AB3F21" w:rsidRPr="00D32C7E" w:rsidRDefault="007B0786" w:rsidP="00AB3F21">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IV.3.3.1. Matières premières </w:t>
      </w:r>
    </w:p>
    <w:p w:rsidR="00AB3F21" w:rsidRPr="00D32C7E" w:rsidRDefault="00AB3F21" w:rsidP="00C750CF">
      <w:pPr>
        <w:pStyle w:val="Paragraphedeliste"/>
        <w:numPr>
          <w:ilvl w:val="0"/>
          <w:numId w:val="10"/>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principes actifs doivent être d’une pureté suffisante. </w:t>
      </w:r>
    </w:p>
    <w:p w:rsidR="00AB3F21" w:rsidRPr="00D32C7E" w:rsidRDefault="00AB3F21" w:rsidP="00C750CF">
      <w:pPr>
        <w:pStyle w:val="Paragraphedeliste"/>
        <w:numPr>
          <w:ilvl w:val="0"/>
          <w:numId w:val="10"/>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solvant est le plus souvent de l’eau purifiée. Quand l’eau n’est pas utilisable ou que l’on veut une solution ou une suspension plus visqueuse on peut utiliser l’huile d’olive ou l’huile d’arachide. </w:t>
      </w:r>
    </w:p>
    <w:p w:rsidR="00AB3F21" w:rsidRPr="00D32C7E" w:rsidRDefault="00AB3F21" w:rsidP="00C750CF">
      <w:pPr>
        <w:pStyle w:val="Paragraphedeliste"/>
        <w:numPr>
          <w:ilvl w:val="0"/>
          <w:numId w:val="10"/>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A ces composants principaux, on peut adjoindre, selon les besoins : </w:t>
      </w:r>
    </w:p>
    <w:p w:rsidR="00AB3F21" w:rsidRPr="00D32C7E" w:rsidRDefault="00AB3F21" w:rsidP="00AB3F21">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  des antioxygènes dans le cas des principes actifs oxydables, </w:t>
      </w:r>
    </w:p>
    <w:p w:rsidR="00AB3F21" w:rsidRPr="00D32C7E" w:rsidRDefault="00AB3F21" w:rsidP="00AB3F21">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  des mouillants pour faciliter la pénétration des principes actifs si elle est souhaitée, </w:t>
      </w:r>
    </w:p>
    <w:p w:rsidR="00AB3F21" w:rsidRPr="00D32C7E" w:rsidRDefault="00AB3F21" w:rsidP="00AB3F21">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  des substances à effet retard agissant en augmentant la viscosité de la préparation comme </w:t>
      </w:r>
      <w:r w:rsidR="00AF451E" w:rsidRPr="00D32C7E">
        <w:rPr>
          <w:rFonts w:asciiTheme="majorBidi" w:hAnsiTheme="majorBidi" w:cstheme="majorBidi"/>
          <w:sz w:val="24"/>
          <w:szCs w:val="24"/>
        </w:rPr>
        <w:t xml:space="preserve">les </w:t>
      </w:r>
      <w:r w:rsidR="00AF451E">
        <w:rPr>
          <w:rFonts w:asciiTheme="majorBidi" w:hAnsiTheme="majorBidi" w:cstheme="majorBidi"/>
          <w:sz w:val="24"/>
          <w:szCs w:val="24"/>
        </w:rPr>
        <w:t>polyéthylènes</w:t>
      </w:r>
      <w:r w:rsidR="00AE4BD7">
        <w:rPr>
          <w:rFonts w:asciiTheme="majorBidi" w:hAnsiTheme="majorBidi" w:cstheme="majorBidi"/>
          <w:sz w:val="24"/>
          <w:szCs w:val="24"/>
        </w:rPr>
        <w:t xml:space="preserve"> glycol (</w:t>
      </w:r>
      <w:r w:rsidR="00E12584" w:rsidRPr="00D32C7E">
        <w:rPr>
          <w:rFonts w:asciiTheme="majorBidi" w:hAnsiTheme="majorBidi" w:cstheme="majorBidi"/>
          <w:sz w:val="24"/>
          <w:szCs w:val="24"/>
        </w:rPr>
        <w:t>P. E. G</w:t>
      </w:r>
      <w:r w:rsidR="00AE4BD7">
        <w:rPr>
          <w:rFonts w:asciiTheme="majorBidi" w:hAnsiTheme="majorBidi" w:cstheme="majorBidi"/>
          <w:sz w:val="24"/>
          <w:szCs w:val="24"/>
        </w:rPr>
        <w:t>)</w:t>
      </w:r>
      <w:r w:rsidR="00E12584" w:rsidRPr="00D32C7E">
        <w:rPr>
          <w:rFonts w:asciiTheme="majorBidi" w:hAnsiTheme="majorBidi" w:cstheme="majorBidi"/>
          <w:sz w:val="24"/>
          <w:szCs w:val="24"/>
        </w:rPr>
        <w:t>, la méthylcellulose…, etc.</w:t>
      </w:r>
    </w:p>
    <w:p w:rsidR="00AB3F21" w:rsidRPr="00D32C7E" w:rsidRDefault="007B0786" w:rsidP="00AB3F21">
      <w:pPr>
        <w:rPr>
          <w:rFonts w:asciiTheme="majorBidi" w:hAnsiTheme="majorBidi" w:cstheme="majorBidi"/>
          <w:b/>
          <w:bCs/>
          <w:sz w:val="24"/>
          <w:szCs w:val="24"/>
        </w:rPr>
      </w:pPr>
      <w:r w:rsidRPr="00D32C7E">
        <w:rPr>
          <w:rFonts w:asciiTheme="majorBidi" w:hAnsiTheme="majorBidi" w:cstheme="majorBidi"/>
          <w:b/>
          <w:bCs/>
          <w:sz w:val="24"/>
          <w:szCs w:val="24"/>
        </w:rPr>
        <w:t xml:space="preserve">IV.3.3.2. Mode opératoire </w:t>
      </w:r>
    </w:p>
    <w:p w:rsidR="00AB3F21" w:rsidRPr="00D32C7E" w:rsidRDefault="002E2E31" w:rsidP="00B34BA8">
      <w:pPr>
        <w:pStyle w:val="Paragraphedeliste"/>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Une s</w:t>
      </w:r>
      <w:r w:rsidR="00AB3F21" w:rsidRPr="00D32C7E">
        <w:rPr>
          <w:rFonts w:asciiTheme="majorBidi" w:hAnsiTheme="majorBidi" w:cstheme="majorBidi"/>
          <w:sz w:val="24"/>
          <w:szCs w:val="24"/>
        </w:rPr>
        <w:t xml:space="preserve">imple mise en solution pour les principes actifs solubles, suivie d’une filtration stérilisante. </w:t>
      </w:r>
    </w:p>
    <w:p w:rsidR="00AB3F21" w:rsidRPr="00D32C7E" w:rsidRDefault="00AB3F21" w:rsidP="002E2E31">
      <w:pPr>
        <w:pStyle w:val="Paragraphedeliste"/>
        <w:numPr>
          <w:ilvl w:val="0"/>
          <w:numId w:val="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Mise en suspension de principes actifs insolubles finement</w:t>
      </w:r>
      <w:r w:rsidR="002E2E31">
        <w:rPr>
          <w:rFonts w:asciiTheme="majorBidi" w:hAnsiTheme="majorBidi" w:cstheme="majorBidi"/>
          <w:sz w:val="24"/>
          <w:szCs w:val="24"/>
        </w:rPr>
        <w:t xml:space="preserve"> </w:t>
      </w:r>
      <w:r w:rsidR="002E2E31" w:rsidRPr="00D32C7E">
        <w:rPr>
          <w:rFonts w:asciiTheme="majorBidi" w:hAnsiTheme="majorBidi" w:cstheme="majorBidi"/>
          <w:sz w:val="24"/>
          <w:szCs w:val="24"/>
        </w:rPr>
        <w:t>pulvérisés</w:t>
      </w:r>
      <w:r w:rsidRPr="00D32C7E">
        <w:rPr>
          <w:rFonts w:asciiTheme="majorBidi" w:hAnsiTheme="majorBidi" w:cstheme="majorBidi"/>
          <w:sz w:val="24"/>
          <w:szCs w:val="24"/>
        </w:rPr>
        <w:t xml:space="preserve"> au moyen d’un broyeur ou d’un microniseur (&lt; 90 micromètres). </w:t>
      </w:r>
    </w:p>
    <w:p w:rsidR="00AB3F21" w:rsidRPr="00D32C7E" w:rsidRDefault="00AB3F21" w:rsidP="00893C03">
      <w:pPr>
        <w:pStyle w:val="Paragraphedeliste"/>
        <w:numPr>
          <w:ilvl w:val="0"/>
          <w:numId w:val="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 xml:space="preserve">Stérilisation si besoin est au moyen d’une des méthodes de stérilisation qui respecte la sensibilité des principes actifs. </w:t>
      </w:r>
    </w:p>
    <w:p w:rsidR="00AB3F21" w:rsidRPr="00D32C7E" w:rsidRDefault="007B0786" w:rsidP="00AB3F21">
      <w:pPr>
        <w:rPr>
          <w:rFonts w:asciiTheme="majorBidi" w:hAnsiTheme="majorBidi" w:cstheme="majorBidi"/>
          <w:b/>
          <w:bCs/>
          <w:sz w:val="24"/>
          <w:szCs w:val="24"/>
        </w:rPr>
      </w:pPr>
      <w:r w:rsidRPr="00D32C7E">
        <w:rPr>
          <w:rFonts w:asciiTheme="majorBidi" w:hAnsiTheme="majorBidi" w:cstheme="majorBidi"/>
          <w:b/>
          <w:bCs/>
          <w:sz w:val="24"/>
          <w:szCs w:val="24"/>
        </w:rPr>
        <w:t xml:space="preserve">IV.3.3.3. Conditionnement </w:t>
      </w:r>
    </w:p>
    <w:p w:rsidR="00AB3F21" w:rsidRPr="00D32C7E" w:rsidRDefault="00AB3F21" w:rsidP="00893C03">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conditionnement se fait dans des salles propres, quelquefois sous gaz inerte, dans des récipients pour collyres qui peuvent être : </w:t>
      </w:r>
    </w:p>
    <w:p w:rsidR="00AB3F21" w:rsidRPr="00D32C7E" w:rsidRDefault="00AB3F21" w:rsidP="00893C03">
      <w:pPr>
        <w:pStyle w:val="Paragraphedeliste"/>
        <w:numPr>
          <w:ilvl w:val="0"/>
          <w:numId w:val="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soit en verre neutre, quelquefois coloré avec un compte-goutte ou d’un bec verseur en matière plastique, </w:t>
      </w:r>
    </w:p>
    <w:p w:rsidR="00AB3F21" w:rsidRPr="00D32C7E" w:rsidRDefault="00AB3F21" w:rsidP="00893C03">
      <w:pPr>
        <w:pStyle w:val="Paragraphedeliste"/>
        <w:numPr>
          <w:ilvl w:val="0"/>
          <w:numId w:val="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soit en matière plastique, le plus souvent en polyéthylène.</w:t>
      </w:r>
    </w:p>
    <w:p w:rsidR="00AB3F21" w:rsidRPr="00D32C7E" w:rsidRDefault="007B0786" w:rsidP="007B0786">
      <w:pPr>
        <w:rPr>
          <w:rFonts w:asciiTheme="majorBidi" w:hAnsiTheme="majorBidi" w:cstheme="majorBidi"/>
          <w:b/>
          <w:bCs/>
          <w:sz w:val="24"/>
          <w:szCs w:val="24"/>
        </w:rPr>
      </w:pPr>
      <w:r w:rsidRPr="00D32C7E">
        <w:rPr>
          <w:rFonts w:asciiTheme="majorBidi" w:hAnsiTheme="majorBidi" w:cstheme="majorBidi"/>
          <w:b/>
          <w:bCs/>
          <w:sz w:val="24"/>
          <w:szCs w:val="24"/>
        </w:rPr>
        <w:t xml:space="preserve">IV.3.4. Essais </w:t>
      </w:r>
    </w:p>
    <w:p w:rsidR="00AB3F21"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Réactions d’identification des principes actifs et des excipients. </w:t>
      </w:r>
    </w:p>
    <w:p w:rsidR="00AB3F21"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Dosage du principe actif. </w:t>
      </w:r>
    </w:p>
    <w:p w:rsidR="00AB3F21"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Mesure du pH et du pouvoir tampon. </w:t>
      </w:r>
    </w:p>
    <w:p w:rsidR="00AB3F21"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Abaissement cryoscopique. </w:t>
      </w:r>
    </w:p>
    <w:p w:rsidR="00AB3F21"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Stérilité. </w:t>
      </w:r>
    </w:p>
    <w:p w:rsidR="00E61886" w:rsidRPr="00D32C7E" w:rsidRDefault="00AB3F21" w:rsidP="00C750CF">
      <w:pPr>
        <w:pStyle w:val="Paragraphedeliste"/>
        <w:numPr>
          <w:ilvl w:val="0"/>
          <w:numId w:val="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Test de l’irritation oculaire chez </w:t>
      </w:r>
      <w:r w:rsidR="002E2E31">
        <w:rPr>
          <w:rFonts w:asciiTheme="majorBidi" w:hAnsiTheme="majorBidi" w:cstheme="majorBidi"/>
          <w:sz w:val="24"/>
          <w:szCs w:val="24"/>
        </w:rPr>
        <w:t xml:space="preserve">le </w:t>
      </w:r>
      <w:r w:rsidRPr="00D32C7E">
        <w:rPr>
          <w:rFonts w:asciiTheme="majorBidi" w:hAnsiTheme="majorBidi" w:cstheme="majorBidi"/>
          <w:sz w:val="24"/>
          <w:szCs w:val="24"/>
        </w:rPr>
        <w:t>lapin.</w:t>
      </w:r>
    </w:p>
    <w:p w:rsidR="00AF4356" w:rsidRPr="00D32C7E" w:rsidRDefault="007B0786" w:rsidP="00837E6A">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IV.4. </w:t>
      </w:r>
      <w:r w:rsidR="00AF4356" w:rsidRPr="00D32C7E">
        <w:rPr>
          <w:rFonts w:asciiTheme="majorBidi" w:hAnsiTheme="majorBidi" w:cstheme="majorBidi"/>
          <w:b/>
          <w:bCs/>
          <w:sz w:val="24"/>
          <w:szCs w:val="24"/>
        </w:rPr>
        <w:t>Conclusion</w:t>
      </w:r>
    </w:p>
    <w:p w:rsidR="002E2E31" w:rsidRDefault="00DA66EE" w:rsidP="00DA66EE">
      <w:p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Les préparations injectables et les collyres devant être en contact avec les liquides de </w:t>
      </w:r>
      <w:r w:rsidR="002E2E31">
        <w:rPr>
          <w:rFonts w:asciiTheme="majorBidi" w:hAnsiTheme="majorBidi" w:cstheme="majorBidi"/>
          <w:sz w:val="24"/>
          <w:szCs w:val="24"/>
        </w:rPr>
        <w:t>l’organisme,  doivent  répa</w:t>
      </w:r>
      <w:r w:rsidRPr="00D32C7E">
        <w:rPr>
          <w:rFonts w:asciiTheme="majorBidi" w:hAnsiTheme="majorBidi" w:cstheme="majorBidi"/>
          <w:sz w:val="24"/>
          <w:szCs w:val="24"/>
        </w:rPr>
        <w:t>ndre à</w:t>
      </w:r>
      <w:r w:rsidR="002E2E31">
        <w:rPr>
          <w:rFonts w:asciiTheme="majorBidi" w:hAnsiTheme="majorBidi" w:cstheme="majorBidi"/>
          <w:sz w:val="24"/>
          <w:szCs w:val="24"/>
        </w:rPr>
        <w:t xml:space="preserve"> un certain nombre d’exigences :</w:t>
      </w:r>
    </w:p>
    <w:p w:rsidR="002E2E31" w:rsidRPr="002E2E31" w:rsidRDefault="00DA66EE" w:rsidP="002E2E31">
      <w:pPr>
        <w:pStyle w:val="Paragraphedeliste"/>
        <w:numPr>
          <w:ilvl w:val="0"/>
          <w:numId w:val="41"/>
        </w:numPr>
        <w:spacing w:line="360" w:lineRule="auto"/>
        <w:jc w:val="both"/>
        <w:rPr>
          <w:rFonts w:asciiTheme="majorBidi" w:hAnsiTheme="majorBidi" w:cstheme="majorBidi"/>
          <w:sz w:val="24"/>
          <w:szCs w:val="24"/>
        </w:rPr>
      </w:pPr>
      <w:r w:rsidRPr="002E2E31">
        <w:rPr>
          <w:rFonts w:asciiTheme="majorBidi" w:hAnsiTheme="majorBidi" w:cstheme="majorBidi"/>
          <w:sz w:val="24"/>
          <w:szCs w:val="24"/>
        </w:rPr>
        <w:t>Les principaux contrôles concernant la limpidité pour les solutions,</w:t>
      </w:r>
    </w:p>
    <w:p w:rsidR="002E2E31" w:rsidRPr="002E2E31" w:rsidRDefault="002E2E31" w:rsidP="002E2E31">
      <w:pPr>
        <w:pStyle w:val="Paragraphedeliste"/>
        <w:numPr>
          <w:ilvl w:val="0"/>
          <w:numId w:val="41"/>
        </w:numPr>
        <w:spacing w:line="360" w:lineRule="auto"/>
        <w:jc w:val="both"/>
        <w:rPr>
          <w:rFonts w:asciiTheme="majorBidi" w:hAnsiTheme="majorBidi" w:cstheme="majorBidi"/>
          <w:sz w:val="24"/>
          <w:szCs w:val="24"/>
        </w:rPr>
      </w:pPr>
      <w:r w:rsidRPr="002E2E31">
        <w:rPr>
          <w:rFonts w:asciiTheme="majorBidi" w:hAnsiTheme="majorBidi" w:cstheme="majorBidi"/>
          <w:sz w:val="24"/>
          <w:szCs w:val="24"/>
        </w:rPr>
        <w:t>Le</w:t>
      </w:r>
      <w:r w:rsidR="00DA66EE" w:rsidRPr="002E2E31">
        <w:rPr>
          <w:rFonts w:asciiTheme="majorBidi" w:hAnsiTheme="majorBidi" w:cstheme="majorBidi"/>
          <w:sz w:val="24"/>
          <w:szCs w:val="24"/>
        </w:rPr>
        <w:t xml:space="preserve"> pH qui  doit être aussi voisin que possible de la neutralité, </w:t>
      </w:r>
    </w:p>
    <w:p w:rsidR="002E2E31" w:rsidRPr="002E2E31" w:rsidRDefault="002E2E31" w:rsidP="002E2E31">
      <w:pPr>
        <w:pStyle w:val="Paragraphedeliste"/>
        <w:numPr>
          <w:ilvl w:val="0"/>
          <w:numId w:val="41"/>
        </w:numPr>
        <w:spacing w:line="360" w:lineRule="auto"/>
        <w:jc w:val="both"/>
        <w:rPr>
          <w:rFonts w:asciiTheme="majorBidi" w:hAnsiTheme="majorBidi" w:cstheme="majorBidi"/>
          <w:sz w:val="24"/>
          <w:szCs w:val="24"/>
        </w:rPr>
      </w:pPr>
      <w:r w:rsidRPr="002E2E31">
        <w:rPr>
          <w:rFonts w:asciiTheme="majorBidi" w:hAnsiTheme="majorBidi" w:cstheme="majorBidi"/>
          <w:sz w:val="24"/>
          <w:szCs w:val="24"/>
        </w:rPr>
        <w:t>La</w:t>
      </w:r>
      <w:r w:rsidR="00DA66EE" w:rsidRPr="002E2E31">
        <w:rPr>
          <w:rFonts w:asciiTheme="majorBidi" w:hAnsiTheme="majorBidi" w:cstheme="majorBidi"/>
          <w:sz w:val="24"/>
          <w:szCs w:val="24"/>
        </w:rPr>
        <w:t xml:space="preserve"> pression osmotique qui doit se rapprocher de celle du plasma, </w:t>
      </w:r>
    </w:p>
    <w:p w:rsidR="002E2E31" w:rsidRPr="002E2E31" w:rsidRDefault="002E2E31" w:rsidP="002E2E31">
      <w:pPr>
        <w:pStyle w:val="Paragraphedeliste"/>
        <w:numPr>
          <w:ilvl w:val="0"/>
          <w:numId w:val="41"/>
        </w:numPr>
        <w:spacing w:line="360" w:lineRule="auto"/>
        <w:jc w:val="both"/>
        <w:rPr>
          <w:rFonts w:asciiTheme="majorBidi" w:hAnsiTheme="majorBidi" w:cstheme="majorBidi"/>
          <w:sz w:val="24"/>
          <w:szCs w:val="24"/>
        </w:rPr>
      </w:pPr>
      <w:r w:rsidRPr="002E2E31">
        <w:rPr>
          <w:rFonts w:asciiTheme="majorBidi" w:hAnsiTheme="majorBidi" w:cstheme="majorBidi"/>
          <w:sz w:val="24"/>
          <w:szCs w:val="24"/>
        </w:rPr>
        <w:t>La</w:t>
      </w:r>
      <w:r w:rsidR="00DA66EE" w:rsidRPr="002E2E31">
        <w:rPr>
          <w:rFonts w:asciiTheme="majorBidi" w:hAnsiTheme="majorBidi" w:cstheme="majorBidi"/>
          <w:sz w:val="24"/>
          <w:szCs w:val="24"/>
        </w:rPr>
        <w:t xml:space="preserve"> recherche des substances pyrogènes</w:t>
      </w:r>
      <w:r w:rsidRPr="002E2E31">
        <w:rPr>
          <w:rFonts w:asciiTheme="majorBidi" w:hAnsiTheme="majorBidi" w:cstheme="majorBidi"/>
          <w:sz w:val="24"/>
          <w:szCs w:val="24"/>
        </w:rPr>
        <w:t>,</w:t>
      </w:r>
    </w:p>
    <w:p w:rsidR="00DA66EE" w:rsidRPr="002E2E31" w:rsidRDefault="002E2E31" w:rsidP="002E2E31">
      <w:pPr>
        <w:pStyle w:val="Paragraphedeliste"/>
        <w:numPr>
          <w:ilvl w:val="0"/>
          <w:numId w:val="41"/>
        </w:numPr>
        <w:spacing w:line="360" w:lineRule="auto"/>
        <w:jc w:val="both"/>
        <w:rPr>
          <w:rFonts w:asciiTheme="majorBidi" w:hAnsiTheme="majorBidi" w:cstheme="majorBidi"/>
          <w:sz w:val="24"/>
          <w:szCs w:val="24"/>
        </w:rPr>
      </w:pPr>
      <w:r w:rsidRPr="002E2E31">
        <w:rPr>
          <w:rFonts w:asciiTheme="majorBidi" w:hAnsiTheme="majorBidi" w:cstheme="majorBidi"/>
          <w:sz w:val="24"/>
          <w:szCs w:val="24"/>
        </w:rPr>
        <w:t>Et</w:t>
      </w:r>
      <w:r w:rsidR="00DA66EE" w:rsidRPr="002E2E31">
        <w:rPr>
          <w:rFonts w:asciiTheme="majorBidi" w:hAnsiTheme="majorBidi" w:cstheme="majorBidi"/>
          <w:sz w:val="24"/>
          <w:szCs w:val="24"/>
        </w:rPr>
        <w:t xml:space="preserve"> enfin  la stérilité qui concerne toutes les préparations parentérales.</w:t>
      </w:r>
    </w:p>
    <w:p w:rsidR="00A54534" w:rsidRDefault="00A54534" w:rsidP="00837E6A">
      <w:pPr>
        <w:spacing w:line="360" w:lineRule="auto"/>
        <w:jc w:val="both"/>
        <w:rPr>
          <w:rFonts w:asciiTheme="majorBidi" w:hAnsiTheme="majorBidi" w:cstheme="majorBidi"/>
          <w:b/>
          <w:bCs/>
          <w:sz w:val="24"/>
          <w:szCs w:val="24"/>
        </w:rPr>
      </w:pPr>
    </w:p>
    <w:p w:rsidR="00A54534" w:rsidRDefault="00A54534" w:rsidP="00837E6A">
      <w:pPr>
        <w:spacing w:line="360" w:lineRule="auto"/>
        <w:jc w:val="both"/>
        <w:rPr>
          <w:rFonts w:asciiTheme="majorBidi" w:hAnsiTheme="majorBidi" w:cstheme="majorBidi"/>
          <w:b/>
          <w:bCs/>
          <w:sz w:val="24"/>
          <w:szCs w:val="24"/>
        </w:rPr>
      </w:pPr>
    </w:p>
    <w:p w:rsidR="00A54534" w:rsidRDefault="00A54534" w:rsidP="00837E6A">
      <w:pPr>
        <w:spacing w:line="360" w:lineRule="auto"/>
        <w:jc w:val="both"/>
        <w:rPr>
          <w:rFonts w:asciiTheme="majorBidi" w:hAnsiTheme="majorBidi" w:cstheme="majorBidi"/>
          <w:b/>
          <w:bCs/>
          <w:sz w:val="24"/>
          <w:szCs w:val="24"/>
        </w:rPr>
      </w:pPr>
    </w:p>
    <w:p w:rsidR="00A54534" w:rsidRDefault="00A54534" w:rsidP="00837E6A">
      <w:pPr>
        <w:spacing w:line="360" w:lineRule="auto"/>
        <w:jc w:val="both"/>
        <w:rPr>
          <w:rFonts w:asciiTheme="majorBidi" w:hAnsiTheme="majorBidi" w:cstheme="majorBidi"/>
          <w:b/>
          <w:bCs/>
          <w:sz w:val="24"/>
          <w:szCs w:val="24"/>
        </w:rPr>
      </w:pPr>
    </w:p>
    <w:p w:rsidR="00CD6581" w:rsidRPr="00A54534" w:rsidRDefault="00AF4356" w:rsidP="00A54534">
      <w:pPr>
        <w:spacing w:line="360" w:lineRule="auto"/>
        <w:jc w:val="center"/>
        <w:rPr>
          <w:rFonts w:asciiTheme="majorBidi" w:hAnsiTheme="majorBidi" w:cstheme="majorBidi"/>
          <w:b/>
          <w:bCs/>
          <w:sz w:val="28"/>
          <w:szCs w:val="28"/>
        </w:rPr>
      </w:pPr>
      <w:r w:rsidRPr="00A54534">
        <w:rPr>
          <w:rFonts w:asciiTheme="majorBidi" w:hAnsiTheme="majorBidi" w:cstheme="majorBidi"/>
          <w:b/>
          <w:bCs/>
          <w:sz w:val="28"/>
          <w:szCs w:val="28"/>
        </w:rPr>
        <w:lastRenderedPageBreak/>
        <w:t>Exercice</w:t>
      </w:r>
      <w:r w:rsidR="00A54534">
        <w:rPr>
          <w:rFonts w:asciiTheme="majorBidi" w:hAnsiTheme="majorBidi" w:cstheme="majorBidi"/>
          <w:b/>
          <w:bCs/>
          <w:sz w:val="28"/>
          <w:szCs w:val="28"/>
        </w:rPr>
        <w:t>s</w:t>
      </w:r>
      <w:r w:rsidRPr="00A54534">
        <w:rPr>
          <w:rFonts w:asciiTheme="majorBidi" w:hAnsiTheme="majorBidi" w:cstheme="majorBidi"/>
          <w:b/>
          <w:bCs/>
          <w:sz w:val="28"/>
          <w:szCs w:val="28"/>
        </w:rPr>
        <w:t xml:space="preserve"> d’évaluation</w:t>
      </w:r>
      <w:r w:rsidR="00A54534" w:rsidRPr="00A54534">
        <w:rPr>
          <w:rFonts w:asciiTheme="majorBidi" w:hAnsiTheme="majorBidi" w:cstheme="majorBidi"/>
          <w:b/>
          <w:bCs/>
          <w:sz w:val="28"/>
          <w:szCs w:val="28"/>
        </w:rPr>
        <w:t xml:space="preserve"> corrigés</w:t>
      </w:r>
    </w:p>
    <w:p w:rsidR="00AF4356" w:rsidRPr="00D32C7E" w:rsidRDefault="00787E85" w:rsidP="00787E8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Exercice 01. Question</w:t>
      </w:r>
      <w:r w:rsidR="004069F8">
        <w:rPr>
          <w:rFonts w:asciiTheme="majorBidi" w:hAnsiTheme="majorBidi" w:cstheme="majorBidi"/>
          <w:b/>
          <w:bCs/>
          <w:sz w:val="24"/>
          <w:szCs w:val="24"/>
        </w:rPr>
        <w:t xml:space="preserve">s </w:t>
      </w:r>
      <w:r>
        <w:rPr>
          <w:rFonts w:asciiTheme="majorBidi" w:hAnsiTheme="majorBidi" w:cstheme="majorBidi"/>
          <w:b/>
          <w:bCs/>
          <w:sz w:val="24"/>
          <w:szCs w:val="24"/>
        </w:rPr>
        <w:t xml:space="preserve"> à choix unique</w:t>
      </w:r>
      <w:r w:rsidR="004069F8">
        <w:rPr>
          <w:rFonts w:asciiTheme="majorBidi" w:hAnsiTheme="majorBidi" w:cstheme="majorBidi"/>
          <w:b/>
          <w:bCs/>
          <w:sz w:val="24"/>
          <w:szCs w:val="24"/>
        </w:rPr>
        <w:t>s</w:t>
      </w:r>
      <w:r>
        <w:rPr>
          <w:rFonts w:asciiTheme="majorBidi" w:hAnsiTheme="majorBidi" w:cstheme="majorBidi"/>
          <w:b/>
          <w:bCs/>
          <w:sz w:val="24"/>
          <w:szCs w:val="24"/>
        </w:rPr>
        <w:t xml:space="preserve"> (</w:t>
      </w:r>
      <w:r w:rsidR="00240756" w:rsidRPr="00D32C7E">
        <w:rPr>
          <w:rFonts w:asciiTheme="majorBidi" w:hAnsiTheme="majorBidi" w:cstheme="majorBidi"/>
          <w:b/>
          <w:bCs/>
          <w:sz w:val="24"/>
          <w:szCs w:val="24"/>
        </w:rPr>
        <w:t>QCU</w:t>
      </w:r>
      <w:r>
        <w:rPr>
          <w:rFonts w:asciiTheme="majorBidi" w:hAnsiTheme="majorBidi" w:cstheme="majorBidi"/>
          <w:b/>
          <w:bCs/>
          <w:sz w:val="24"/>
          <w:szCs w:val="24"/>
        </w:rPr>
        <w:t>)</w:t>
      </w:r>
    </w:p>
    <w:p w:rsidR="00CD6581" w:rsidRPr="00D32C7E" w:rsidRDefault="00CD6581"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Les solutions injectables sont formulées à un pH proche du</w:t>
      </w:r>
    </w:p>
    <w:p w:rsidR="00CD6581" w:rsidRPr="00D32C7E" w:rsidRDefault="00CD6581" w:rsidP="00544C32">
      <w:pPr>
        <w:pStyle w:val="Paragraphedeliste"/>
        <w:spacing w:line="360" w:lineRule="auto"/>
        <w:ind w:left="0"/>
        <w:jc w:val="both"/>
        <w:rPr>
          <w:rFonts w:asciiTheme="majorBidi" w:hAnsiTheme="majorBidi" w:cstheme="majorBidi"/>
          <w:sz w:val="24"/>
          <w:szCs w:val="24"/>
          <w:lang w:val="en-US"/>
        </w:rPr>
      </w:pPr>
      <w:r w:rsidRPr="00D32C7E">
        <w:rPr>
          <w:rFonts w:asciiTheme="majorBidi" w:hAnsiTheme="majorBidi" w:cstheme="majorBidi"/>
          <w:sz w:val="24"/>
          <w:szCs w:val="24"/>
          <w:lang w:val="en-US"/>
        </w:rPr>
        <w:t>A. pH 5.4                             B. pH 6.4                        C. pH 7.4                               D. pH 8.4</w:t>
      </w:r>
    </w:p>
    <w:p w:rsidR="005937AA" w:rsidRPr="00D32C7E" w:rsidRDefault="005937AA" w:rsidP="00544C32">
      <w:pPr>
        <w:pStyle w:val="Paragraphedeliste"/>
        <w:spacing w:line="360" w:lineRule="auto"/>
        <w:ind w:left="0"/>
        <w:jc w:val="both"/>
        <w:rPr>
          <w:rFonts w:asciiTheme="majorBidi" w:hAnsiTheme="majorBidi" w:cstheme="majorBidi"/>
          <w:sz w:val="24"/>
          <w:szCs w:val="24"/>
          <w:lang w:val="en-US"/>
        </w:rPr>
      </w:pPr>
    </w:p>
    <w:p w:rsidR="00CD6581" w:rsidRPr="00D32C7E" w:rsidRDefault="00240756"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Pour maintenir le pH prévu des produits parentéraux tout au long de sa durée de conservation, il faut </w:t>
      </w:r>
      <w:r w:rsidR="000A3FF8" w:rsidRPr="00D32C7E">
        <w:rPr>
          <w:rFonts w:asciiTheme="majorBidi" w:hAnsiTheme="majorBidi" w:cstheme="majorBidi"/>
          <w:b/>
          <w:bCs/>
          <w:sz w:val="24"/>
          <w:szCs w:val="24"/>
        </w:rPr>
        <w:t>ajuster avec</w:t>
      </w:r>
      <w:r w:rsidRPr="00D32C7E">
        <w:rPr>
          <w:rFonts w:asciiTheme="majorBidi" w:hAnsiTheme="majorBidi" w:cstheme="majorBidi"/>
          <w:b/>
          <w:bCs/>
          <w:sz w:val="24"/>
          <w:szCs w:val="24"/>
        </w:rPr>
        <w:t xml:space="preserve"> </w:t>
      </w:r>
      <w:r w:rsidR="000A3FF8" w:rsidRPr="00D32C7E">
        <w:rPr>
          <w:rFonts w:asciiTheme="majorBidi" w:hAnsiTheme="majorBidi" w:cstheme="majorBidi"/>
          <w:b/>
          <w:bCs/>
          <w:sz w:val="24"/>
          <w:szCs w:val="24"/>
        </w:rPr>
        <w:t>les</w:t>
      </w:r>
    </w:p>
    <w:p w:rsidR="000A3FF8" w:rsidRPr="00D32C7E" w:rsidRDefault="000A3FF8" w:rsidP="00544C32">
      <w:pPr>
        <w:pStyle w:val="Paragraphedeliste"/>
        <w:spacing w:line="360" w:lineRule="auto"/>
        <w:ind w:left="0"/>
        <w:jc w:val="both"/>
        <w:rPr>
          <w:rFonts w:asciiTheme="majorBidi" w:hAnsiTheme="majorBidi" w:cstheme="majorBidi"/>
          <w:sz w:val="24"/>
          <w:szCs w:val="24"/>
        </w:rPr>
      </w:pPr>
      <w:r w:rsidRPr="00D32C7E">
        <w:rPr>
          <w:rFonts w:asciiTheme="majorBidi" w:hAnsiTheme="majorBidi" w:cstheme="majorBidi"/>
          <w:sz w:val="24"/>
          <w:szCs w:val="24"/>
        </w:rPr>
        <w:t>A.A</w:t>
      </w:r>
      <w:r w:rsidR="00240756" w:rsidRPr="00D32C7E">
        <w:rPr>
          <w:rFonts w:asciiTheme="majorBidi" w:hAnsiTheme="majorBidi" w:cstheme="majorBidi"/>
          <w:sz w:val="24"/>
          <w:szCs w:val="24"/>
        </w:rPr>
        <w:t xml:space="preserve">ntioxydants                </w:t>
      </w:r>
      <w:r w:rsidRPr="00D32C7E">
        <w:rPr>
          <w:rFonts w:asciiTheme="majorBidi" w:hAnsiTheme="majorBidi" w:cstheme="majorBidi"/>
          <w:sz w:val="24"/>
          <w:szCs w:val="24"/>
        </w:rPr>
        <w:t xml:space="preserve">B. </w:t>
      </w:r>
      <w:r w:rsidR="00240756" w:rsidRPr="00D32C7E">
        <w:rPr>
          <w:rFonts w:asciiTheme="majorBidi" w:hAnsiTheme="majorBidi" w:cstheme="majorBidi"/>
          <w:sz w:val="24"/>
          <w:szCs w:val="24"/>
        </w:rPr>
        <w:t xml:space="preserve">Solution tompons                  </w:t>
      </w:r>
      <w:r w:rsidRPr="00D32C7E">
        <w:rPr>
          <w:rFonts w:asciiTheme="majorBidi" w:hAnsiTheme="majorBidi" w:cstheme="majorBidi"/>
          <w:sz w:val="24"/>
          <w:szCs w:val="24"/>
        </w:rPr>
        <w:t xml:space="preserve">C. </w:t>
      </w:r>
      <w:r w:rsidR="00240756" w:rsidRPr="00D32C7E">
        <w:rPr>
          <w:rFonts w:asciiTheme="majorBidi" w:hAnsiTheme="majorBidi" w:cstheme="majorBidi"/>
          <w:sz w:val="24"/>
          <w:szCs w:val="24"/>
        </w:rPr>
        <w:t xml:space="preserve">Aromatisants            </w:t>
      </w:r>
      <w:r w:rsidRPr="00D32C7E">
        <w:rPr>
          <w:rFonts w:asciiTheme="majorBidi" w:hAnsiTheme="majorBidi" w:cstheme="majorBidi"/>
          <w:sz w:val="24"/>
          <w:szCs w:val="24"/>
        </w:rPr>
        <w:t>D. C</w:t>
      </w:r>
      <w:r w:rsidR="00240756" w:rsidRPr="00D32C7E">
        <w:rPr>
          <w:rFonts w:asciiTheme="majorBidi" w:hAnsiTheme="majorBidi" w:cstheme="majorBidi"/>
          <w:sz w:val="24"/>
          <w:szCs w:val="24"/>
        </w:rPr>
        <w:t>olorants</w:t>
      </w:r>
    </w:p>
    <w:p w:rsidR="005937AA" w:rsidRPr="00D32C7E" w:rsidRDefault="005937AA" w:rsidP="00544C32">
      <w:pPr>
        <w:pStyle w:val="Paragraphedeliste"/>
        <w:spacing w:line="360" w:lineRule="auto"/>
        <w:ind w:left="0"/>
        <w:jc w:val="both"/>
        <w:rPr>
          <w:rFonts w:asciiTheme="majorBidi" w:hAnsiTheme="majorBidi" w:cstheme="majorBidi"/>
          <w:sz w:val="24"/>
          <w:szCs w:val="24"/>
        </w:rPr>
      </w:pPr>
    </w:p>
    <w:p w:rsidR="000A3FF8" w:rsidRPr="00D32C7E" w:rsidRDefault="000A3FF8"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Si on a une solution contient une quantité égale de soluté dissous par rapport à fluide corporel, cette solution est appelée </w:t>
      </w:r>
    </w:p>
    <w:p w:rsidR="000A3FF8" w:rsidRPr="00D32C7E" w:rsidRDefault="000A3FF8" w:rsidP="00544C32">
      <w:pPr>
        <w:pStyle w:val="Paragraphedeliste"/>
        <w:spacing w:line="360" w:lineRule="auto"/>
        <w:ind w:left="0"/>
        <w:jc w:val="both"/>
        <w:rPr>
          <w:rFonts w:asciiTheme="majorBidi" w:hAnsiTheme="majorBidi" w:cstheme="majorBidi"/>
          <w:sz w:val="24"/>
          <w:szCs w:val="24"/>
        </w:rPr>
      </w:pPr>
      <w:r w:rsidRPr="00D32C7E">
        <w:rPr>
          <w:rFonts w:asciiTheme="majorBidi" w:hAnsiTheme="majorBidi" w:cstheme="majorBidi"/>
          <w:sz w:val="24"/>
          <w:szCs w:val="24"/>
        </w:rPr>
        <w:t>A.Solution hypotonique                    B. Solution hypertonique                C. Solution isotonique</w:t>
      </w:r>
    </w:p>
    <w:p w:rsidR="005937AA" w:rsidRPr="00D32C7E" w:rsidRDefault="005937AA" w:rsidP="00544C32">
      <w:pPr>
        <w:pStyle w:val="Paragraphedeliste"/>
        <w:spacing w:line="360" w:lineRule="auto"/>
        <w:ind w:left="0"/>
        <w:jc w:val="both"/>
        <w:rPr>
          <w:rFonts w:asciiTheme="majorBidi" w:hAnsiTheme="majorBidi" w:cstheme="majorBidi"/>
          <w:sz w:val="24"/>
          <w:szCs w:val="24"/>
        </w:rPr>
      </w:pPr>
    </w:p>
    <w:p w:rsidR="004E2C5E" w:rsidRPr="00D32C7E" w:rsidRDefault="004E2C5E"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L’acide citrique  est un  excipient  utiliser dans les préparations parentérales pour</w:t>
      </w:r>
    </w:p>
    <w:p w:rsidR="004E2C5E" w:rsidRPr="00D32C7E" w:rsidRDefault="004E2C5E" w:rsidP="00544C32">
      <w:pPr>
        <w:pStyle w:val="Paragraphedeliste"/>
        <w:numPr>
          <w:ilvl w:val="0"/>
          <w:numId w:val="1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empêcher la dégradation oxydative des médicaments sensibles</w:t>
      </w:r>
    </w:p>
    <w:p w:rsidR="004E2C5E" w:rsidRPr="00D32C7E" w:rsidRDefault="004E2C5E" w:rsidP="00544C32">
      <w:pPr>
        <w:pStyle w:val="Paragraphedeliste"/>
        <w:numPr>
          <w:ilvl w:val="0"/>
          <w:numId w:val="1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inactiver les métaux qui catalysent généralement la dégradation oxydative des molécules de médicaments.</w:t>
      </w:r>
    </w:p>
    <w:p w:rsidR="004E2C5E" w:rsidRDefault="004E2C5E" w:rsidP="00544C32">
      <w:pPr>
        <w:pStyle w:val="Paragraphedeliste"/>
        <w:numPr>
          <w:ilvl w:val="0"/>
          <w:numId w:val="1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prévenir la croissance microbienne dans une solution. </w:t>
      </w:r>
    </w:p>
    <w:p w:rsidR="007C4CF1" w:rsidRPr="007C4CF1" w:rsidRDefault="007C4CF1" w:rsidP="007C4CF1">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5937AA" w:rsidRPr="00D32C7E" w:rsidRDefault="005937AA" w:rsidP="005937AA">
      <w:pPr>
        <w:pStyle w:val="Paragraphedeliste"/>
        <w:spacing w:line="360" w:lineRule="auto"/>
        <w:jc w:val="both"/>
        <w:rPr>
          <w:rFonts w:asciiTheme="majorBidi" w:hAnsiTheme="majorBidi" w:cstheme="majorBidi"/>
          <w:sz w:val="24"/>
          <w:szCs w:val="24"/>
        </w:rPr>
      </w:pPr>
    </w:p>
    <w:p w:rsidR="000A3FF8" w:rsidRPr="00D32C7E" w:rsidRDefault="004E2C5E"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Bisulfate de sodium est un  excipient  utiliser dans les préparations parentérales pour</w:t>
      </w:r>
    </w:p>
    <w:p w:rsidR="004E2C5E" w:rsidRPr="00D32C7E" w:rsidRDefault="007C4CF1" w:rsidP="00544C32">
      <w:pPr>
        <w:pStyle w:val="Paragraphedeliste"/>
        <w:numPr>
          <w:ilvl w:val="0"/>
          <w:numId w:val="1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Empêcher La Dégradation Oxydative Des Médicaments Sensibles</w:t>
      </w:r>
    </w:p>
    <w:p w:rsidR="004E2C5E" w:rsidRPr="00D32C7E" w:rsidRDefault="007C4CF1" w:rsidP="00544C32">
      <w:pPr>
        <w:pStyle w:val="Paragraphedeliste"/>
        <w:numPr>
          <w:ilvl w:val="0"/>
          <w:numId w:val="1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Inactiver Les Métaux Qui Catalysent Généralement La Dégradation Oxydative Des Molécules De Médicaments.</w:t>
      </w:r>
    </w:p>
    <w:p w:rsidR="004E2C5E" w:rsidRPr="00D32C7E" w:rsidRDefault="007C4CF1" w:rsidP="00544C32">
      <w:pPr>
        <w:pStyle w:val="Paragraphedeliste"/>
        <w:numPr>
          <w:ilvl w:val="0"/>
          <w:numId w:val="1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Prévenir La Croissance Microbienne Dans Une Solution.</w:t>
      </w:r>
    </w:p>
    <w:p w:rsidR="005937AA" w:rsidRDefault="007C4CF1" w:rsidP="007C4CF1">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7C4CF1" w:rsidRPr="007C4CF1" w:rsidRDefault="007C4CF1" w:rsidP="007C4CF1">
      <w:pPr>
        <w:pStyle w:val="Paragraphedeliste"/>
        <w:spacing w:line="360" w:lineRule="auto"/>
        <w:jc w:val="both"/>
        <w:rPr>
          <w:rFonts w:asciiTheme="majorBidi" w:hAnsiTheme="majorBidi" w:cstheme="majorBidi"/>
          <w:sz w:val="24"/>
          <w:szCs w:val="24"/>
        </w:rPr>
      </w:pPr>
    </w:p>
    <w:p w:rsidR="00EB22D7" w:rsidRPr="00D32C7E" w:rsidRDefault="00EB22D7"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Les excipients utilisés pour augmenter la solubilité des médicaments et faciliter le mouillage du médicament dans les liquides sont </w:t>
      </w:r>
    </w:p>
    <w:p w:rsidR="00EB22D7" w:rsidRPr="00D32C7E" w:rsidRDefault="00EB22D7" w:rsidP="00544C32">
      <w:pPr>
        <w:pStyle w:val="Paragraphedeliste"/>
        <w:numPr>
          <w:ilvl w:val="0"/>
          <w:numId w:val="20"/>
        </w:numPr>
        <w:spacing w:line="360" w:lineRule="auto"/>
        <w:rPr>
          <w:sz w:val="24"/>
          <w:szCs w:val="24"/>
        </w:rPr>
      </w:pPr>
      <w:r w:rsidRPr="00D32C7E">
        <w:rPr>
          <w:rFonts w:asciiTheme="majorBidi" w:hAnsiTheme="majorBidi" w:cstheme="majorBidi"/>
          <w:sz w:val="24"/>
          <w:szCs w:val="24"/>
        </w:rPr>
        <w:t>Les agents tensioactifs</w:t>
      </w:r>
    </w:p>
    <w:p w:rsidR="00EB22D7" w:rsidRPr="00D32C7E" w:rsidRDefault="00EB22D7" w:rsidP="00544C32">
      <w:pPr>
        <w:pStyle w:val="Paragraphedeliste"/>
        <w:numPr>
          <w:ilvl w:val="0"/>
          <w:numId w:val="20"/>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Les conservateurs</w:t>
      </w:r>
    </w:p>
    <w:p w:rsidR="00EB22D7" w:rsidRPr="00D32C7E" w:rsidRDefault="00EB22D7" w:rsidP="00544C32">
      <w:pPr>
        <w:pStyle w:val="Paragraphedeliste"/>
        <w:numPr>
          <w:ilvl w:val="0"/>
          <w:numId w:val="20"/>
        </w:numPr>
        <w:spacing w:line="360" w:lineRule="auto"/>
        <w:rPr>
          <w:sz w:val="24"/>
          <w:szCs w:val="24"/>
        </w:rPr>
      </w:pPr>
      <w:r w:rsidRPr="00D32C7E">
        <w:rPr>
          <w:rFonts w:asciiTheme="majorBidi" w:hAnsiTheme="majorBidi" w:cstheme="majorBidi"/>
          <w:sz w:val="24"/>
          <w:szCs w:val="24"/>
        </w:rPr>
        <w:t>Les agents chélatants</w:t>
      </w:r>
    </w:p>
    <w:p w:rsidR="00EB22D7" w:rsidRPr="00D32C7E" w:rsidRDefault="00EB22D7" w:rsidP="00544C32">
      <w:pPr>
        <w:pStyle w:val="Paragraphedeliste"/>
        <w:numPr>
          <w:ilvl w:val="0"/>
          <w:numId w:val="20"/>
        </w:numPr>
        <w:spacing w:line="360" w:lineRule="auto"/>
        <w:rPr>
          <w:sz w:val="24"/>
          <w:szCs w:val="24"/>
        </w:rPr>
      </w:pPr>
      <w:r w:rsidRPr="00D32C7E">
        <w:rPr>
          <w:rFonts w:asciiTheme="majorBidi" w:hAnsiTheme="majorBidi" w:cstheme="majorBidi"/>
          <w:sz w:val="24"/>
          <w:szCs w:val="24"/>
        </w:rPr>
        <w:t>Les antioxydants</w:t>
      </w:r>
    </w:p>
    <w:p w:rsidR="00BE3B59" w:rsidRPr="00D32C7E" w:rsidRDefault="00BE3B59" w:rsidP="00BE3B59">
      <w:pPr>
        <w:pStyle w:val="Paragraphedeliste"/>
        <w:rPr>
          <w:sz w:val="24"/>
          <w:szCs w:val="24"/>
        </w:rPr>
      </w:pPr>
    </w:p>
    <w:p w:rsidR="00BE3B59" w:rsidRPr="00D32C7E" w:rsidRDefault="00BE3B59" w:rsidP="00BE3B59">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La principale source de pyrogènes est </w:t>
      </w:r>
    </w:p>
    <w:p w:rsidR="00BE3B59" w:rsidRPr="00D32C7E" w:rsidRDefault="00BE3B59" w:rsidP="00BE3B59">
      <w:pPr>
        <w:pStyle w:val="Paragraphedeliste"/>
        <w:numPr>
          <w:ilvl w:val="0"/>
          <w:numId w:val="2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matières premières</w:t>
      </w:r>
    </w:p>
    <w:p w:rsidR="00BE3B59" w:rsidRPr="00D32C7E" w:rsidRDefault="00BE3B59" w:rsidP="00BE3B59">
      <w:pPr>
        <w:pStyle w:val="Paragraphedeliste"/>
        <w:numPr>
          <w:ilvl w:val="0"/>
          <w:numId w:val="2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L’eau</w:t>
      </w:r>
    </w:p>
    <w:p w:rsidR="00BE3B59" w:rsidRPr="00D32C7E" w:rsidRDefault="00BE3B59" w:rsidP="00BE3B59">
      <w:pPr>
        <w:pStyle w:val="Paragraphedeliste"/>
        <w:numPr>
          <w:ilvl w:val="0"/>
          <w:numId w:val="2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Les équipements</w:t>
      </w:r>
    </w:p>
    <w:p w:rsidR="00BE3B59" w:rsidRPr="00D32C7E" w:rsidRDefault="00BE3B59" w:rsidP="00BE3B59">
      <w:pPr>
        <w:pStyle w:val="Paragraphedeliste"/>
        <w:numPr>
          <w:ilvl w:val="0"/>
          <w:numId w:val="21"/>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contamination humaine</w:t>
      </w:r>
    </w:p>
    <w:p w:rsidR="005937AA" w:rsidRPr="00D32C7E" w:rsidRDefault="005937AA" w:rsidP="005937AA">
      <w:pPr>
        <w:pStyle w:val="Paragraphedeliste"/>
        <w:spacing w:line="360" w:lineRule="auto"/>
        <w:jc w:val="both"/>
        <w:rPr>
          <w:rFonts w:asciiTheme="majorBidi" w:hAnsiTheme="majorBidi" w:cstheme="majorBidi"/>
          <w:sz w:val="24"/>
          <w:szCs w:val="24"/>
        </w:rPr>
      </w:pPr>
    </w:p>
    <w:p w:rsidR="005A1741" w:rsidRPr="00D32C7E" w:rsidRDefault="005A1741" w:rsidP="005A1741">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Ensemencement sur milieux de culture appropriés est une méthode de contrôle de </w:t>
      </w:r>
    </w:p>
    <w:p w:rsidR="005A1741" w:rsidRPr="00D32C7E" w:rsidRDefault="005A1741" w:rsidP="005A1741">
      <w:pPr>
        <w:pStyle w:val="Paragraphedeliste"/>
        <w:numPr>
          <w:ilvl w:val="0"/>
          <w:numId w:val="23"/>
        </w:numPr>
        <w:spacing w:line="360" w:lineRule="auto"/>
        <w:jc w:val="both"/>
      </w:pPr>
      <w:r w:rsidRPr="00D32C7E">
        <w:rPr>
          <w:rFonts w:asciiTheme="majorBidi" w:hAnsiTheme="majorBidi" w:cstheme="majorBidi"/>
          <w:sz w:val="24"/>
          <w:szCs w:val="24"/>
        </w:rPr>
        <w:t>Limpidité</w:t>
      </w:r>
    </w:p>
    <w:p w:rsidR="005A1741" w:rsidRPr="00D32C7E" w:rsidRDefault="005A1741" w:rsidP="005A1741">
      <w:pPr>
        <w:pStyle w:val="Paragraphedeliste"/>
        <w:numPr>
          <w:ilvl w:val="0"/>
          <w:numId w:val="23"/>
        </w:numPr>
        <w:spacing w:line="360" w:lineRule="auto"/>
        <w:jc w:val="both"/>
      </w:pPr>
      <w:r w:rsidRPr="00D32C7E">
        <w:rPr>
          <w:rFonts w:asciiTheme="majorBidi" w:hAnsiTheme="majorBidi" w:cstheme="majorBidi"/>
          <w:sz w:val="24"/>
          <w:szCs w:val="24"/>
        </w:rPr>
        <w:t>Neutralité</w:t>
      </w:r>
    </w:p>
    <w:p w:rsidR="005A1741" w:rsidRPr="00D32C7E" w:rsidRDefault="005A1741" w:rsidP="005A1741">
      <w:pPr>
        <w:pStyle w:val="Paragraphedeliste"/>
        <w:numPr>
          <w:ilvl w:val="0"/>
          <w:numId w:val="23"/>
        </w:numPr>
        <w:spacing w:line="360" w:lineRule="auto"/>
        <w:jc w:val="both"/>
      </w:pPr>
      <w:r w:rsidRPr="00D32C7E">
        <w:rPr>
          <w:rFonts w:asciiTheme="majorBidi" w:hAnsiTheme="majorBidi" w:cstheme="majorBidi"/>
          <w:sz w:val="24"/>
          <w:szCs w:val="24"/>
        </w:rPr>
        <w:t>Isotonie</w:t>
      </w:r>
    </w:p>
    <w:p w:rsidR="005A1741" w:rsidRPr="00D32C7E" w:rsidRDefault="005A1741" w:rsidP="005A1741">
      <w:pPr>
        <w:pStyle w:val="Paragraphedeliste"/>
        <w:numPr>
          <w:ilvl w:val="0"/>
          <w:numId w:val="23"/>
        </w:numPr>
        <w:spacing w:line="360" w:lineRule="auto"/>
        <w:jc w:val="both"/>
      </w:pPr>
      <w:r w:rsidRPr="00D32C7E">
        <w:rPr>
          <w:rFonts w:asciiTheme="majorBidi" w:hAnsiTheme="majorBidi" w:cstheme="majorBidi"/>
          <w:sz w:val="24"/>
          <w:szCs w:val="24"/>
        </w:rPr>
        <w:t>Stérilité</w:t>
      </w:r>
    </w:p>
    <w:p w:rsidR="005937AA" w:rsidRPr="00D32C7E" w:rsidRDefault="005937AA" w:rsidP="005937AA">
      <w:pPr>
        <w:pStyle w:val="Paragraphedeliste"/>
        <w:spacing w:line="360" w:lineRule="auto"/>
        <w:jc w:val="both"/>
      </w:pPr>
    </w:p>
    <w:p w:rsidR="00FC72BD" w:rsidRPr="00D32C7E" w:rsidRDefault="00FC72BD" w:rsidP="00FC72BD">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Les filtres à membrane couramment utilisés comme filtres stérilisants sont les filtres d'une taille de pore de </w:t>
      </w:r>
    </w:p>
    <w:p w:rsidR="00FC72BD" w:rsidRPr="00D32C7E" w:rsidRDefault="00FC72BD" w:rsidP="00FC72BD">
      <w:pPr>
        <w:pStyle w:val="Paragraphedeliste"/>
        <w:numPr>
          <w:ilvl w:val="0"/>
          <w:numId w:val="26"/>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0.11 µm</w:t>
      </w:r>
    </w:p>
    <w:p w:rsidR="005A1741" w:rsidRPr="00D32C7E" w:rsidRDefault="00FC72BD" w:rsidP="00FC72BD">
      <w:pPr>
        <w:pStyle w:val="Paragraphedeliste"/>
        <w:numPr>
          <w:ilvl w:val="0"/>
          <w:numId w:val="26"/>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0,22 μm</w:t>
      </w:r>
    </w:p>
    <w:p w:rsidR="00FC72BD" w:rsidRPr="00D32C7E" w:rsidRDefault="00FC72BD" w:rsidP="00FC72BD">
      <w:pPr>
        <w:pStyle w:val="Paragraphedeliste"/>
        <w:numPr>
          <w:ilvl w:val="0"/>
          <w:numId w:val="26"/>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0.33µm</w:t>
      </w:r>
    </w:p>
    <w:p w:rsidR="00FC72BD" w:rsidRPr="00D32C7E" w:rsidRDefault="00FC72BD" w:rsidP="00FC72BD">
      <w:pPr>
        <w:pStyle w:val="Paragraphedeliste"/>
        <w:numPr>
          <w:ilvl w:val="0"/>
          <w:numId w:val="26"/>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0.44µm</w:t>
      </w:r>
    </w:p>
    <w:p w:rsidR="005937AA" w:rsidRPr="00D32C7E" w:rsidRDefault="005937AA" w:rsidP="005937AA">
      <w:pPr>
        <w:pStyle w:val="Paragraphedeliste"/>
        <w:spacing w:line="360" w:lineRule="auto"/>
        <w:jc w:val="both"/>
        <w:rPr>
          <w:rFonts w:asciiTheme="majorBidi" w:hAnsiTheme="majorBidi" w:cstheme="majorBidi"/>
          <w:sz w:val="24"/>
          <w:szCs w:val="24"/>
        </w:rPr>
      </w:pPr>
    </w:p>
    <w:p w:rsidR="00544C32" w:rsidRPr="00D32C7E" w:rsidRDefault="00544C32" w:rsidP="00544C32">
      <w:pPr>
        <w:pStyle w:val="Paragraphedeliste"/>
        <w:numPr>
          <w:ilvl w:val="0"/>
          <w:numId w:val="16"/>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Pour le conditionnement des préparations injectables non aqueuses on utilise</w:t>
      </w:r>
    </w:p>
    <w:p w:rsidR="00544C32" w:rsidRPr="00D32C7E" w:rsidRDefault="00544C32" w:rsidP="00544C32">
      <w:pPr>
        <w:pStyle w:val="Paragraphedeliste"/>
        <w:numPr>
          <w:ilvl w:val="0"/>
          <w:numId w:val="2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 verre de type I</w:t>
      </w:r>
    </w:p>
    <w:p w:rsidR="00544C32" w:rsidRPr="00D32C7E" w:rsidRDefault="00544C32" w:rsidP="00544C32">
      <w:pPr>
        <w:pStyle w:val="Paragraphedeliste"/>
        <w:numPr>
          <w:ilvl w:val="0"/>
          <w:numId w:val="2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Le verre de type II</w:t>
      </w:r>
    </w:p>
    <w:p w:rsidR="00FC72BD" w:rsidRDefault="00544C32" w:rsidP="00544C32">
      <w:pPr>
        <w:pStyle w:val="Paragraphedeliste"/>
        <w:numPr>
          <w:ilvl w:val="0"/>
          <w:numId w:val="29"/>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verre de type III </w:t>
      </w:r>
    </w:p>
    <w:p w:rsidR="00123A7C" w:rsidRPr="00123A7C" w:rsidRDefault="00123A7C" w:rsidP="00123A7C">
      <w:pPr>
        <w:pStyle w:val="Paragraphedeliste"/>
        <w:numPr>
          <w:ilvl w:val="0"/>
          <w:numId w:val="2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A54534" w:rsidRPr="00D32C7E" w:rsidRDefault="00A54534" w:rsidP="00A5453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Solution.01</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C</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B</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lastRenderedPageBreak/>
        <w:t>C</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B</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A</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A</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B</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D</w:t>
      </w:r>
    </w:p>
    <w:p w:rsidR="00A54534" w:rsidRPr="00D32C7E"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B</w:t>
      </w:r>
    </w:p>
    <w:p w:rsidR="00A54534" w:rsidRPr="00A54534" w:rsidRDefault="00A54534" w:rsidP="00A54534">
      <w:pPr>
        <w:pStyle w:val="Paragraphedeliste"/>
        <w:numPr>
          <w:ilvl w:val="0"/>
          <w:numId w:val="35"/>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C</w:t>
      </w:r>
    </w:p>
    <w:p w:rsidR="005A1741" w:rsidRPr="00D32C7E" w:rsidRDefault="00787E85" w:rsidP="00787E8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Exercice </w:t>
      </w:r>
      <w:r w:rsidR="004E12C6" w:rsidRPr="00D32C7E">
        <w:rPr>
          <w:rFonts w:asciiTheme="majorBidi" w:hAnsiTheme="majorBidi" w:cstheme="majorBidi"/>
          <w:b/>
          <w:bCs/>
          <w:sz w:val="24"/>
          <w:szCs w:val="24"/>
        </w:rPr>
        <w:t>02</w:t>
      </w:r>
      <w:r>
        <w:rPr>
          <w:rFonts w:asciiTheme="majorBidi" w:hAnsiTheme="majorBidi" w:cstheme="majorBidi"/>
          <w:b/>
          <w:bCs/>
          <w:sz w:val="24"/>
          <w:szCs w:val="24"/>
        </w:rPr>
        <w:t>. Question</w:t>
      </w:r>
      <w:r w:rsidR="004069F8">
        <w:rPr>
          <w:rFonts w:asciiTheme="majorBidi" w:hAnsiTheme="majorBidi" w:cstheme="majorBidi"/>
          <w:b/>
          <w:bCs/>
          <w:sz w:val="24"/>
          <w:szCs w:val="24"/>
        </w:rPr>
        <w:t>s</w:t>
      </w:r>
      <w:r>
        <w:rPr>
          <w:rFonts w:asciiTheme="majorBidi" w:hAnsiTheme="majorBidi" w:cstheme="majorBidi"/>
          <w:b/>
          <w:bCs/>
          <w:sz w:val="24"/>
          <w:szCs w:val="24"/>
        </w:rPr>
        <w:t xml:space="preserve"> à choix multiple</w:t>
      </w:r>
      <w:r w:rsidR="004069F8">
        <w:rPr>
          <w:rFonts w:asciiTheme="majorBidi" w:hAnsiTheme="majorBidi" w:cstheme="majorBidi"/>
          <w:b/>
          <w:bCs/>
          <w:sz w:val="24"/>
          <w:szCs w:val="24"/>
        </w:rPr>
        <w:t>s</w:t>
      </w:r>
      <w:r>
        <w:rPr>
          <w:rFonts w:asciiTheme="majorBidi" w:hAnsiTheme="majorBidi" w:cstheme="majorBidi"/>
          <w:b/>
          <w:bCs/>
          <w:sz w:val="24"/>
          <w:szCs w:val="24"/>
        </w:rPr>
        <w:t xml:space="preserve"> (Q</w:t>
      </w:r>
      <w:r w:rsidR="004E12C6" w:rsidRPr="00D32C7E">
        <w:rPr>
          <w:rFonts w:asciiTheme="majorBidi" w:hAnsiTheme="majorBidi" w:cstheme="majorBidi"/>
          <w:b/>
          <w:bCs/>
          <w:sz w:val="24"/>
          <w:szCs w:val="24"/>
        </w:rPr>
        <w:t>CM</w:t>
      </w:r>
      <w:r>
        <w:rPr>
          <w:rFonts w:asciiTheme="majorBidi" w:hAnsiTheme="majorBidi" w:cstheme="majorBidi"/>
          <w:b/>
          <w:bCs/>
          <w:sz w:val="24"/>
          <w:szCs w:val="24"/>
        </w:rPr>
        <w:t>)</w:t>
      </w:r>
    </w:p>
    <w:p w:rsidR="004E12C6" w:rsidRPr="00D32C7E" w:rsidRDefault="004E12C6" w:rsidP="00544C32">
      <w:pPr>
        <w:pStyle w:val="Paragraphedeliste"/>
        <w:numPr>
          <w:ilvl w:val="0"/>
          <w:numId w:val="30"/>
        </w:numPr>
        <w:spacing w:line="360" w:lineRule="auto"/>
        <w:rPr>
          <w:rFonts w:asciiTheme="majorBidi" w:hAnsiTheme="majorBidi" w:cstheme="majorBidi"/>
          <w:b/>
          <w:bCs/>
          <w:sz w:val="24"/>
          <w:szCs w:val="24"/>
        </w:rPr>
      </w:pPr>
      <w:r w:rsidRPr="00D32C7E">
        <w:rPr>
          <w:rFonts w:asciiTheme="majorBidi" w:hAnsiTheme="majorBidi" w:cstheme="majorBidi"/>
          <w:b/>
          <w:bCs/>
          <w:sz w:val="24"/>
          <w:szCs w:val="24"/>
        </w:rPr>
        <w:t>La</w:t>
      </w:r>
      <w:r w:rsidR="00BE3B59" w:rsidRPr="00D32C7E">
        <w:rPr>
          <w:rFonts w:asciiTheme="majorBidi" w:hAnsiTheme="majorBidi" w:cstheme="majorBidi"/>
          <w:b/>
          <w:bCs/>
          <w:sz w:val="24"/>
          <w:szCs w:val="24"/>
        </w:rPr>
        <w:t xml:space="preserve"> solution isotonique correspond à </w:t>
      </w:r>
    </w:p>
    <w:p w:rsidR="004E12C6" w:rsidRPr="00D32C7E" w:rsidRDefault="004E12C6" w:rsidP="00544C32">
      <w:pPr>
        <w:pStyle w:val="Paragraphedeliste"/>
        <w:numPr>
          <w:ilvl w:val="0"/>
          <w:numId w:val="31"/>
        </w:numPr>
        <w:spacing w:line="360" w:lineRule="auto"/>
        <w:rPr>
          <w:rFonts w:asciiTheme="majorBidi" w:hAnsiTheme="majorBidi" w:cstheme="majorBidi"/>
          <w:sz w:val="24"/>
          <w:szCs w:val="24"/>
        </w:rPr>
      </w:pPr>
      <w:r w:rsidRPr="00D32C7E">
        <w:rPr>
          <w:rFonts w:asciiTheme="majorBidi" w:hAnsiTheme="majorBidi" w:cstheme="majorBidi"/>
          <w:sz w:val="24"/>
          <w:szCs w:val="24"/>
        </w:rPr>
        <w:t>1%  p /v de chlorure de sodium</w:t>
      </w:r>
    </w:p>
    <w:p w:rsidR="004E12C6" w:rsidRPr="00D32C7E" w:rsidRDefault="004E12C6" w:rsidP="00544C32">
      <w:pPr>
        <w:pStyle w:val="Paragraphedeliste"/>
        <w:numPr>
          <w:ilvl w:val="0"/>
          <w:numId w:val="31"/>
        </w:numPr>
        <w:spacing w:line="360" w:lineRule="auto"/>
        <w:rPr>
          <w:rFonts w:asciiTheme="majorBidi" w:hAnsiTheme="majorBidi" w:cstheme="majorBidi"/>
          <w:sz w:val="24"/>
          <w:szCs w:val="24"/>
        </w:rPr>
      </w:pPr>
      <w:r w:rsidRPr="00D32C7E">
        <w:rPr>
          <w:rFonts w:asciiTheme="majorBidi" w:hAnsiTheme="majorBidi" w:cstheme="majorBidi"/>
          <w:sz w:val="24"/>
          <w:szCs w:val="24"/>
        </w:rPr>
        <w:t>5%  p /v de chlorure de sodium</w:t>
      </w:r>
    </w:p>
    <w:p w:rsidR="004E12C6" w:rsidRPr="00D32C7E" w:rsidRDefault="00BE3B59" w:rsidP="00544C32">
      <w:pPr>
        <w:pStyle w:val="Paragraphedeliste"/>
        <w:numPr>
          <w:ilvl w:val="0"/>
          <w:numId w:val="31"/>
        </w:numPr>
        <w:spacing w:line="360" w:lineRule="auto"/>
        <w:rPr>
          <w:rFonts w:asciiTheme="majorBidi" w:hAnsiTheme="majorBidi" w:cstheme="majorBidi"/>
          <w:sz w:val="24"/>
          <w:szCs w:val="24"/>
        </w:rPr>
      </w:pPr>
      <w:r w:rsidRPr="00D32C7E">
        <w:rPr>
          <w:rFonts w:asciiTheme="majorBidi" w:hAnsiTheme="majorBidi" w:cstheme="majorBidi"/>
          <w:sz w:val="24"/>
          <w:szCs w:val="24"/>
        </w:rPr>
        <w:t xml:space="preserve">0,9 % p /v </w:t>
      </w:r>
      <w:r w:rsidR="004E12C6" w:rsidRPr="00D32C7E">
        <w:rPr>
          <w:rFonts w:asciiTheme="majorBidi" w:hAnsiTheme="majorBidi" w:cstheme="majorBidi"/>
          <w:sz w:val="24"/>
          <w:szCs w:val="24"/>
        </w:rPr>
        <w:t xml:space="preserve">de chlorure de sodium </w:t>
      </w:r>
    </w:p>
    <w:p w:rsidR="004E12C6" w:rsidRPr="00D32C7E" w:rsidRDefault="00BE3B59" w:rsidP="00544C32">
      <w:pPr>
        <w:pStyle w:val="Paragraphedeliste"/>
        <w:numPr>
          <w:ilvl w:val="0"/>
          <w:numId w:val="31"/>
        </w:numPr>
        <w:spacing w:line="360" w:lineRule="auto"/>
        <w:rPr>
          <w:rFonts w:asciiTheme="majorBidi" w:hAnsiTheme="majorBidi" w:cstheme="majorBidi"/>
          <w:sz w:val="24"/>
          <w:szCs w:val="24"/>
        </w:rPr>
      </w:pPr>
      <w:r w:rsidRPr="00D32C7E">
        <w:rPr>
          <w:rFonts w:asciiTheme="majorBidi" w:hAnsiTheme="majorBidi" w:cstheme="majorBidi"/>
          <w:sz w:val="24"/>
          <w:szCs w:val="24"/>
        </w:rPr>
        <w:t>5 % p /v de dextrose</w:t>
      </w:r>
    </w:p>
    <w:p w:rsidR="005937AA" w:rsidRPr="00D32C7E" w:rsidRDefault="005937AA" w:rsidP="005937AA">
      <w:pPr>
        <w:pStyle w:val="Paragraphedeliste"/>
        <w:spacing w:line="360" w:lineRule="auto"/>
        <w:rPr>
          <w:rFonts w:asciiTheme="majorBidi" w:hAnsiTheme="majorBidi" w:cstheme="majorBidi"/>
          <w:sz w:val="24"/>
          <w:szCs w:val="24"/>
        </w:rPr>
      </w:pPr>
    </w:p>
    <w:p w:rsidR="004E12C6" w:rsidRPr="00D32C7E" w:rsidRDefault="004E12C6" w:rsidP="00544C32">
      <w:pPr>
        <w:pStyle w:val="Paragraphedeliste"/>
        <w:numPr>
          <w:ilvl w:val="0"/>
          <w:numId w:val="30"/>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Les excipients utilisés pour obtenir une isotonicité dans une formulation parentérale sont les</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Dextrose</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Chlorure de sodium </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Chlorure de potassium</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Laurate de potassium</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Sodium dodécyl sulfate </w:t>
      </w:r>
    </w:p>
    <w:p w:rsidR="004E12C6" w:rsidRPr="00D32C7E" w:rsidRDefault="004E12C6" w:rsidP="00544C32">
      <w:pPr>
        <w:pStyle w:val="Paragraphedeliste"/>
        <w:numPr>
          <w:ilvl w:val="0"/>
          <w:numId w:val="24"/>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Parabens</w:t>
      </w:r>
    </w:p>
    <w:p w:rsidR="005937AA" w:rsidRPr="00D32C7E" w:rsidRDefault="005937AA" w:rsidP="005937AA">
      <w:pPr>
        <w:pStyle w:val="Paragraphedeliste"/>
        <w:spacing w:line="360" w:lineRule="auto"/>
        <w:jc w:val="both"/>
        <w:rPr>
          <w:rFonts w:asciiTheme="majorBidi" w:hAnsiTheme="majorBidi" w:cstheme="majorBidi"/>
          <w:sz w:val="24"/>
          <w:szCs w:val="24"/>
        </w:rPr>
      </w:pPr>
    </w:p>
    <w:p w:rsidR="00F32183" w:rsidRPr="00D32C7E" w:rsidRDefault="00F32183" w:rsidP="00544C32">
      <w:pPr>
        <w:pStyle w:val="Paragraphedeliste"/>
        <w:numPr>
          <w:ilvl w:val="0"/>
          <w:numId w:val="30"/>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Les méthodes de stérilisation utilisées pour les préparations parentérales sensibles à la chaleur sont </w:t>
      </w:r>
    </w:p>
    <w:p w:rsidR="00F32183" w:rsidRPr="00D32C7E" w:rsidRDefault="00F32183" w:rsidP="00544C32">
      <w:pPr>
        <w:pStyle w:val="Paragraphedeliste"/>
        <w:numPr>
          <w:ilvl w:val="0"/>
          <w:numId w:val="2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par la chaleur séche</w:t>
      </w:r>
    </w:p>
    <w:p w:rsidR="00F32183" w:rsidRPr="00D32C7E" w:rsidRDefault="00F32183" w:rsidP="00544C32">
      <w:pPr>
        <w:pStyle w:val="Paragraphedeliste"/>
        <w:numPr>
          <w:ilvl w:val="0"/>
          <w:numId w:val="2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par voie humide</w:t>
      </w:r>
    </w:p>
    <w:p w:rsidR="00F32183" w:rsidRPr="00D32C7E" w:rsidRDefault="00F32183" w:rsidP="00544C32">
      <w:pPr>
        <w:pStyle w:val="Paragraphedeliste"/>
        <w:numPr>
          <w:ilvl w:val="0"/>
          <w:numId w:val="2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par filtration</w:t>
      </w:r>
    </w:p>
    <w:p w:rsidR="00F32183" w:rsidRDefault="00F32183" w:rsidP="00544C32">
      <w:pPr>
        <w:pStyle w:val="Paragraphedeliste"/>
        <w:numPr>
          <w:ilvl w:val="0"/>
          <w:numId w:val="2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La stérilisation par rayonnement</w:t>
      </w:r>
    </w:p>
    <w:p w:rsidR="00C42963" w:rsidRPr="00D32C7E" w:rsidRDefault="00C42963" w:rsidP="00C42963">
      <w:pPr>
        <w:pStyle w:val="Paragraphedeliste"/>
        <w:spacing w:line="360" w:lineRule="auto"/>
        <w:jc w:val="both"/>
        <w:rPr>
          <w:rFonts w:asciiTheme="majorBidi" w:hAnsiTheme="majorBidi" w:cstheme="majorBidi"/>
          <w:sz w:val="24"/>
          <w:szCs w:val="24"/>
        </w:rPr>
      </w:pPr>
    </w:p>
    <w:p w:rsidR="005937AA" w:rsidRPr="00D32C7E" w:rsidRDefault="005937AA" w:rsidP="005937AA">
      <w:pPr>
        <w:pStyle w:val="Paragraphedeliste"/>
        <w:spacing w:line="360" w:lineRule="auto"/>
        <w:jc w:val="both"/>
        <w:rPr>
          <w:rFonts w:asciiTheme="majorBidi" w:hAnsiTheme="majorBidi" w:cstheme="majorBidi"/>
          <w:sz w:val="24"/>
          <w:szCs w:val="24"/>
        </w:rPr>
      </w:pPr>
    </w:p>
    <w:p w:rsidR="00544C32" w:rsidRPr="00D32C7E" w:rsidRDefault="00544C32" w:rsidP="00544C32">
      <w:pPr>
        <w:pStyle w:val="Paragraphedeliste"/>
        <w:numPr>
          <w:ilvl w:val="0"/>
          <w:numId w:val="30"/>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Pour le conditionnement des préparations injectables aqueuses on utilise</w:t>
      </w:r>
    </w:p>
    <w:p w:rsidR="00544C32" w:rsidRPr="00D32C7E" w:rsidRDefault="00544C32" w:rsidP="00544C32">
      <w:pPr>
        <w:pStyle w:val="Paragraphedeliste"/>
        <w:numPr>
          <w:ilvl w:val="0"/>
          <w:numId w:val="2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Verre de type I </w:t>
      </w:r>
    </w:p>
    <w:p w:rsidR="00544C32" w:rsidRPr="00D32C7E" w:rsidRDefault="00544C32" w:rsidP="00544C32">
      <w:pPr>
        <w:pStyle w:val="Paragraphedeliste"/>
        <w:numPr>
          <w:ilvl w:val="0"/>
          <w:numId w:val="2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Verre de type II </w:t>
      </w:r>
    </w:p>
    <w:p w:rsidR="00544C32" w:rsidRPr="00D32C7E" w:rsidRDefault="00544C32" w:rsidP="00544C32">
      <w:pPr>
        <w:pStyle w:val="Paragraphedeliste"/>
        <w:numPr>
          <w:ilvl w:val="0"/>
          <w:numId w:val="28"/>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Le Verre de type III </w:t>
      </w:r>
    </w:p>
    <w:p w:rsidR="005937AA" w:rsidRPr="00D32C7E" w:rsidRDefault="005937AA" w:rsidP="005937AA">
      <w:pPr>
        <w:pStyle w:val="Paragraphedeliste"/>
        <w:spacing w:line="360" w:lineRule="auto"/>
        <w:jc w:val="both"/>
        <w:rPr>
          <w:rFonts w:asciiTheme="majorBidi" w:hAnsiTheme="majorBidi" w:cstheme="majorBidi"/>
          <w:sz w:val="24"/>
          <w:szCs w:val="24"/>
        </w:rPr>
      </w:pPr>
    </w:p>
    <w:p w:rsidR="001E628B" w:rsidRPr="00D32C7E" w:rsidRDefault="001E628B" w:rsidP="001E628B">
      <w:pPr>
        <w:pStyle w:val="Paragraphedeliste"/>
        <w:numPr>
          <w:ilvl w:val="0"/>
          <w:numId w:val="30"/>
        </w:numPr>
        <w:tabs>
          <w:tab w:val="left" w:pos="1200"/>
        </w:tabs>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 xml:space="preserve">La stérilisation à la vapeur est la méthode de choix pour la stérilisation </w:t>
      </w:r>
    </w:p>
    <w:p w:rsidR="001E628B" w:rsidRPr="00D32C7E" w:rsidRDefault="001E628B" w:rsidP="001E628B">
      <w:pPr>
        <w:pStyle w:val="Paragraphedeliste"/>
        <w:numPr>
          <w:ilvl w:val="0"/>
          <w:numId w:val="34"/>
        </w:num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Des solutions aqueuses</w:t>
      </w:r>
    </w:p>
    <w:p w:rsidR="001E628B" w:rsidRPr="00D32C7E" w:rsidRDefault="001E628B" w:rsidP="001E628B">
      <w:pPr>
        <w:pStyle w:val="Paragraphedeliste"/>
        <w:numPr>
          <w:ilvl w:val="0"/>
          <w:numId w:val="34"/>
        </w:num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De la verrerie </w:t>
      </w:r>
    </w:p>
    <w:p w:rsidR="001E628B" w:rsidRPr="00D32C7E" w:rsidRDefault="001E628B" w:rsidP="001E628B">
      <w:pPr>
        <w:pStyle w:val="Paragraphedeliste"/>
        <w:numPr>
          <w:ilvl w:val="0"/>
          <w:numId w:val="34"/>
        </w:num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Des articles en caoutchouc</w:t>
      </w:r>
    </w:p>
    <w:p w:rsidR="001E628B" w:rsidRPr="00D32C7E" w:rsidRDefault="001E628B" w:rsidP="001E628B">
      <w:pPr>
        <w:pStyle w:val="Paragraphedeliste"/>
        <w:numPr>
          <w:ilvl w:val="0"/>
          <w:numId w:val="34"/>
        </w:num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Des formulations sensibles à la chaleur </w:t>
      </w:r>
    </w:p>
    <w:p w:rsidR="00544C32" w:rsidRPr="00D32C7E" w:rsidRDefault="001E628B" w:rsidP="001E628B">
      <w:pPr>
        <w:pStyle w:val="Paragraphedeliste"/>
        <w:numPr>
          <w:ilvl w:val="0"/>
          <w:numId w:val="34"/>
        </w:numPr>
        <w:tabs>
          <w:tab w:val="left" w:pos="1200"/>
        </w:tabs>
        <w:spacing w:line="360" w:lineRule="auto"/>
        <w:jc w:val="both"/>
        <w:rPr>
          <w:rFonts w:asciiTheme="majorBidi" w:hAnsiTheme="majorBidi" w:cstheme="majorBidi"/>
          <w:sz w:val="24"/>
          <w:szCs w:val="24"/>
        </w:rPr>
      </w:pPr>
      <w:r w:rsidRPr="00D32C7E">
        <w:rPr>
          <w:rFonts w:asciiTheme="majorBidi" w:hAnsiTheme="majorBidi" w:cstheme="majorBidi"/>
          <w:sz w:val="24"/>
          <w:szCs w:val="24"/>
        </w:rPr>
        <w:t>Des solutions non aqueuses.</w:t>
      </w:r>
    </w:p>
    <w:p w:rsidR="00A54534" w:rsidRPr="00D32C7E" w:rsidRDefault="00BF0402" w:rsidP="00A5453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00A54534" w:rsidRPr="00D32C7E">
        <w:rPr>
          <w:rFonts w:asciiTheme="majorBidi" w:hAnsiTheme="majorBidi" w:cstheme="majorBidi"/>
          <w:b/>
          <w:bCs/>
          <w:sz w:val="24"/>
          <w:szCs w:val="24"/>
        </w:rPr>
        <w:t>.02</w:t>
      </w:r>
    </w:p>
    <w:p w:rsidR="00A54534" w:rsidRPr="00D32C7E" w:rsidRDefault="00A54534" w:rsidP="00A54534">
      <w:pPr>
        <w:pStyle w:val="Paragraphedeliste"/>
        <w:numPr>
          <w:ilvl w:val="0"/>
          <w:numId w:val="3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 et </w:t>
      </w:r>
      <w:r w:rsidRPr="00D32C7E">
        <w:rPr>
          <w:rFonts w:asciiTheme="majorBidi" w:hAnsiTheme="majorBidi" w:cstheme="majorBidi"/>
          <w:sz w:val="24"/>
          <w:szCs w:val="24"/>
        </w:rPr>
        <w:t>D</w:t>
      </w:r>
    </w:p>
    <w:p w:rsidR="00A54534" w:rsidRPr="00D32C7E" w:rsidRDefault="00A54534" w:rsidP="00A54534">
      <w:pPr>
        <w:pStyle w:val="Paragraphedeliste"/>
        <w:numPr>
          <w:ilvl w:val="0"/>
          <w:numId w:val="3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B et </w:t>
      </w:r>
      <w:r w:rsidRPr="00D32C7E">
        <w:rPr>
          <w:rFonts w:asciiTheme="majorBidi" w:hAnsiTheme="majorBidi" w:cstheme="majorBidi"/>
          <w:sz w:val="24"/>
          <w:szCs w:val="24"/>
        </w:rPr>
        <w:t>C</w:t>
      </w:r>
    </w:p>
    <w:p w:rsidR="00A54534" w:rsidRPr="00D32C7E" w:rsidRDefault="00A54534" w:rsidP="00A54534">
      <w:pPr>
        <w:pStyle w:val="Paragraphedeliste"/>
        <w:numPr>
          <w:ilvl w:val="0"/>
          <w:numId w:val="3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 et </w:t>
      </w:r>
      <w:r w:rsidRPr="00D32C7E">
        <w:rPr>
          <w:rFonts w:asciiTheme="majorBidi" w:hAnsiTheme="majorBidi" w:cstheme="majorBidi"/>
          <w:sz w:val="24"/>
          <w:szCs w:val="24"/>
        </w:rPr>
        <w:t>D</w:t>
      </w:r>
    </w:p>
    <w:p w:rsidR="00A54534" w:rsidRPr="00D32C7E" w:rsidRDefault="00A54534" w:rsidP="00A54534">
      <w:pPr>
        <w:pStyle w:val="Paragraphedeliste"/>
        <w:numPr>
          <w:ilvl w:val="0"/>
          <w:numId w:val="3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et </w:t>
      </w:r>
      <w:r w:rsidRPr="00D32C7E">
        <w:rPr>
          <w:rFonts w:asciiTheme="majorBidi" w:hAnsiTheme="majorBidi" w:cstheme="majorBidi"/>
          <w:sz w:val="24"/>
          <w:szCs w:val="24"/>
        </w:rPr>
        <w:t>B</w:t>
      </w:r>
    </w:p>
    <w:p w:rsidR="00A54534" w:rsidRPr="00A54534" w:rsidRDefault="00A54534" w:rsidP="00A54534">
      <w:pPr>
        <w:pStyle w:val="Paragraphedeliste"/>
        <w:numPr>
          <w:ilvl w:val="0"/>
          <w:numId w:val="3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B et </w:t>
      </w:r>
      <w:r w:rsidRPr="00D32C7E">
        <w:rPr>
          <w:rFonts w:asciiTheme="majorBidi" w:hAnsiTheme="majorBidi" w:cstheme="majorBidi"/>
          <w:sz w:val="24"/>
          <w:szCs w:val="24"/>
        </w:rPr>
        <w:t>C</w:t>
      </w:r>
    </w:p>
    <w:p w:rsidR="004E12C6" w:rsidRPr="00D32C7E" w:rsidRDefault="004E12C6" w:rsidP="004E12C6">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Exercice.03 Vrai ou faux</w:t>
      </w:r>
    </w:p>
    <w:p w:rsidR="004E12C6" w:rsidRPr="00D32C7E" w:rsidRDefault="004E12C6" w:rsidP="004E12C6">
      <w:pPr>
        <w:pStyle w:val="Paragraphedeliste"/>
        <w:numPr>
          <w:ilvl w:val="0"/>
          <w:numId w:val="25"/>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Les préparations injectables doivent avoir la même pression osmotique que le sang.</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27" style="position:absolute;left:0;text-align:left;margin-left:2.15pt;margin-top:1.45pt;width:6.7pt;height:10.05pt;z-index:251658240"/>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Vrai</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28" style="position:absolute;left:0;text-align:left;margin-left:2.25pt;margin-top:1.15pt;width:6.7pt;height:10.05pt;z-index:251659264"/>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Faux</w:t>
      </w:r>
    </w:p>
    <w:p w:rsidR="004E12C6" w:rsidRPr="00D32C7E" w:rsidRDefault="004E12C6" w:rsidP="004E12C6">
      <w:pPr>
        <w:pStyle w:val="Paragraphedeliste"/>
        <w:numPr>
          <w:ilvl w:val="0"/>
          <w:numId w:val="25"/>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Toutes les préparations parentérales doivent être pyrogènes.</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29" style="position:absolute;left:0;text-align:left;margin-left:2.15pt;margin-top:2.75pt;width:6.7pt;height:10.05pt;z-index:251660288"/>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Vrai</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0" style="position:absolute;left:0;text-align:left;margin-left:2.25pt;margin-top:1.6pt;width:6.7pt;height:10.05pt;z-index:251661312"/>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Faux</w:t>
      </w:r>
    </w:p>
    <w:p w:rsidR="004E12C6" w:rsidRPr="00D32C7E" w:rsidRDefault="004E12C6" w:rsidP="004E12C6">
      <w:pPr>
        <w:pStyle w:val="Paragraphedeliste"/>
        <w:numPr>
          <w:ilvl w:val="0"/>
          <w:numId w:val="25"/>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Si un article est dépyrogéné, il est également stérile.</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1" style="position:absolute;left:0;text-align:left;margin-left:2.25pt;margin-top:3.1pt;width:6.7pt;height:10.05pt;z-index:251662336"/>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Vrai</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2" style="position:absolute;left:0;text-align:left;margin-left:2.15pt;margin-top:1pt;width:6.7pt;height:10.05pt;z-index:251663360"/>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Faux</w:t>
      </w:r>
    </w:p>
    <w:p w:rsidR="004E12C6" w:rsidRPr="00D32C7E" w:rsidRDefault="004E12C6" w:rsidP="004E12C6">
      <w:pPr>
        <w:pStyle w:val="Paragraphedeliste"/>
        <w:numPr>
          <w:ilvl w:val="0"/>
          <w:numId w:val="25"/>
        </w:num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lastRenderedPageBreak/>
        <w:t>Une substance apyrogène testée par limulus amébocyte lysat provoque une gélification.</w:t>
      </w:r>
    </w:p>
    <w:p w:rsidR="004E12C6" w:rsidRPr="00D32C7E" w:rsidRDefault="00402BD5" w:rsidP="004E12C6">
      <w:pPr>
        <w:spacing w:line="360" w:lineRule="auto"/>
        <w:jc w:val="both"/>
        <w:rPr>
          <w:rFonts w:asciiTheme="majorBidi" w:hAnsiTheme="majorBidi" w:cstheme="majorBidi"/>
          <w:b/>
          <w:bCs/>
          <w:sz w:val="24"/>
          <w:szCs w:val="24"/>
        </w:rPr>
      </w:pPr>
      <w:r w:rsidRPr="00402BD5">
        <w:rPr>
          <w:rFonts w:asciiTheme="majorBidi" w:hAnsiTheme="majorBidi" w:cstheme="majorBidi"/>
          <w:noProof/>
          <w:sz w:val="24"/>
          <w:szCs w:val="24"/>
        </w:rPr>
        <w:pict>
          <v:rect id="_x0000_s1033" style="position:absolute;left:0;text-align:left;margin-left:2.25pt;margin-top:.35pt;width:6.7pt;height:10.05pt;z-index:251664384"/>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Vrai</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4" style="position:absolute;left:0;text-align:left;margin-left:2.15pt;margin-top:.7pt;width:6.7pt;height:10.05pt;z-index:251665408"/>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Faux</w:t>
      </w:r>
    </w:p>
    <w:p w:rsidR="004E12C6" w:rsidRPr="00D32C7E" w:rsidRDefault="004E12C6" w:rsidP="004E12C6">
      <w:pPr>
        <w:pStyle w:val="Paragraphedeliste"/>
        <w:numPr>
          <w:ilvl w:val="0"/>
          <w:numId w:val="25"/>
        </w:numPr>
        <w:jc w:val="both"/>
        <w:rPr>
          <w:rFonts w:asciiTheme="majorBidi" w:hAnsiTheme="majorBidi" w:cstheme="majorBidi"/>
          <w:b/>
          <w:bCs/>
          <w:sz w:val="24"/>
          <w:szCs w:val="24"/>
        </w:rPr>
      </w:pPr>
      <w:r w:rsidRPr="00D32C7E">
        <w:rPr>
          <w:rFonts w:asciiTheme="majorBidi" w:hAnsiTheme="majorBidi" w:cstheme="majorBidi"/>
          <w:b/>
          <w:bCs/>
          <w:sz w:val="24"/>
          <w:szCs w:val="24"/>
        </w:rPr>
        <w:t>La stérilisation par filtration est un processus qui élimine et détruit les micro-organismes.</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5" style="position:absolute;left:0;text-align:left;margin-left:4.65pt;margin-top:.55pt;width:6.7pt;height:10.05pt;z-index:251666432"/>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Vrai</w:t>
      </w:r>
    </w:p>
    <w:p w:rsidR="004E12C6" w:rsidRPr="00D32C7E" w:rsidRDefault="00402BD5" w:rsidP="004E12C6">
      <w:pPr>
        <w:jc w:val="both"/>
        <w:rPr>
          <w:rFonts w:asciiTheme="majorBidi" w:hAnsiTheme="majorBidi" w:cstheme="majorBidi"/>
          <w:sz w:val="24"/>
          <w:szCs w:val="24"/>
        </w:rPr>
      </w:pPr>
      <w:r>
        <w:rPr>
          <w:rFonts w:asciiTheme="majorBidi" w:hAnsiTheme="majorBidi" w:cstheme="majorBidi"/>
          <w:noProof/>
          <w:sz w:val="24"/>
          <w:szCs w:val="24"/>
        </w:rPr>
        <w:pict>
          <v:rect id="_x0000_s1036" style="position:absolute;left:0;text-align:left;margin-left:6.05pt;margin-top:2.4pt;width:6.7pt;height:10.05pt;z-index:251667456"/>
        </w:pict>
      </w:r>
      <w:r w:rsidR="00D32C7E" w:rsidRPr="00D32C7E">
        <w:rPr>
          <w:rFonts w:asciiTheme="majorBidi" w:hAnsiTheme="majorBidi" w:cstheme="majorBidi"/>
          <w:sz w:val="24"/>
          <w:szCs w:val="24"/>
        </w:rPr>
        <w:t xml:space="preserve">      </w:t>
      </w:r>
      <w:r w:rsidR="004E12C6" w:rsidRPr="00D32C7E">
        <w:rPr>
          <w:rFonts w:asciiTheme="majorBidi" w:hAnsiTheme="majorBidi" w:cstheme="majorBidi"/>
          <w:sz w:val="24"/>
          <w:szCs w:val="24"/>
        </w:rPr>
        <w:t>Faux</w:t>
      </w:r>
    </w:p>
    <w:p w:rsidR="00A54534" w:rsidRPr="00D32C7E" w:rsidRDefault="00A54534" w:rsidP="00A54534">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Pr="00D32C7E">
        <w:rPr>
          <w:rFonts w:asciiTheme="majorBidi" w:hAnsiTheme="majorBidi" w:cstheme="majorBidi"/>
          <w:b/>
          <w:bCs/>
          <w:sz w:val="24"/>
          <w:szCs w:val="24"/>
        </w:rPr>
        <w:t>.03</w:t>
      </w:r>
    </w:p>
    <w:p w:rsidR="00A54534" w:rsidRPr="00D32C7E" w:rsidRDefault="00A54534" w:rsidP="00A54534">
      <w:pPr>
        <w:pStyle w:val="Paragraphedeliste"/>
        <w:numPr>
          <w:ilvl w:val="0"/>
          <w:numId w:val="3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Vrai</w:t>
      </w:r>
    </w:p>
    <w:p w:rsidR="00A54534" w:rsidRPr="00D32C7E" w:rsidRDefault="00A54534" w:rsidP="00A54534">
      <w:pPr>
        <w:pStyle w:val="Paragraphedeliste"/>
        <w:numPr>
          <w:ilvl w:val="0"/>
          <w:numId w:val="3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Faux</w:t>
      </w:r>
    </w:p>
    <w:p w:rsidR="00A54534" w:rsidRPr="00D32C7E" w:rsidRDefault="00A54534" w:rsidP="00A54534">
      <w:pPr>
        <w:pStyle w:val="Paragraphedeliste"/>
        <w:numPr>
          <w:ilvl w:val="0"/>
          <w:numId w:val="3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Vrai</w:t>
      </w:r>
    </w:p>
    <w:p w:rsidR="00A54534" w:rsidRPr="00D32C7E" w:rsidRDefault="00A54534" w:rsidP="00A54534">
      <w:pPr>
        <w:pStyle w:val="Paragraphedeliste"/>
        <w:numPr>
          <w:ilvl w:val="0"/>
          <w:numId w:val="3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Faux</w:t>
      </w:r>
    </w:p>
    <w:p w:rsidR="00A54534" w:rsidRPr="00A54534" w:rsidRDefault="00A54534" w:rsidP="00A54534">
      <w:pPr>
        <w:pStyle w:val="Paragraphedeliste"/>
        <w:numPr>
          <w:ilvl w:val="0"/>
          <w:numId w:val="37"/>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Faux</w:t>
      </w:r>
    </w:p>
    <w:p w:rsidR="00544C32" w:rsidRPr="00D32C7E" w:rsidRDefault="007C4CF1" w:rsidP="00544C3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Exercice </w:t>
      </w:r>
      <w:r w:rsidR="00544C32" w:rsidRPr="00D32C7E">
        <w:rPr>
          <w:rFonts w:asciiTheme="majorBidi" w:hAnsiTheme="majorBidi" w:cstheme="majorBidi"/>
          <w:b/>
          <w:bCs/>
          <w:sz w:val="24"/>
          <w:szCs w:val="24"/>
        </w:rPr>
        <w:t>04</w:t>
      </w:r>
      <w:r>
        <w:rPr>
          <w:rFonts w:asciiTheme="majorBidi" w:hAnsiTheme="majorBidi" w:cstheme="majorBidi"/>
          <w:b/>
          <w:bCs/>
          <w:sz w:val="24"/>
          <w:szCs w:val="24"/>
        </w:rPr>
        <w:t>. Question à réponse direct</w:t>
      </w:r>
    </w:p>
    <w:p w:rsidR="007C4CF1" w:rsidRDefault="00544C32" w:rsidP="007C4CF1">
      <w:pPr>
        <w:pStyle w:val="Paragraphedeliste"/>
        <w:numPr>
          <w:ilvl w:val="0"/>
          <w:numId w:val="38"/>
        </w:numPr>
        <w:spacing w:line="360" w:lineRule="auto"/>
        <w:jc w:val="both"/>
        <w:rPr>
          <w:rFonts w:asciiTheme="majorBidi" w:hAnsiTheme="majorBidi" w:cstheme="majorBidi"/>
          <w:sz w:val="24"/>
          <w:szCs w:val="24"/>
        </w:rPr>
      </w:pPr>
      <w:r w:rsidRPr="007C4CF1">
        <w:rPr>
          <w:rFonts w:asciiTheme="majorBidi" w:hAnsiTheme="majorBidi" w:cstheme="majorBidi"/>
          <w:sz w:val="24"/>
          <w:szCs w:val="24"/>
        </w:rPr>
        <w:t>Citer les differents contrôles effectuées sur les collyres.</w:t>
      </w:r>
    </w:p>
    <w:p w:rsidR="00D32C7E" w:rsidRPr="00D32C7E" w:rsidRDefault="00A54534" w:rsidP="00D32C7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00D32C7E" w:rsidRPr="00D32C7E">
        <w:rPr>
          <w:rFonts w:asciiTheme="majorBidi" w:hAnsiTheme="majorBidi" w:cstheme="majorBidi"/>
          <w:b/>
          <w:bCs/>
          <w:sz w:val="24"/>
          <w:szCs w:val="24"/>
        </w:rPr>
        <w:t>.04</w:t>
      </w:r>
    </w:p>
    <w:p w:rsidR="00D32C7E" w:rsidRPr="00D32C7E" w:rsidRDefault="00D32C7E" w:rsidP="00D32C7E">
      <w:pPr>
        <w:spacing w:line="360" w:lineRule="auto"/>
        <w:jc w:val="both"/>
        <w:rPr>
          <w:rFonts w:asciiTheme="majorBidi" w:hAnsiTheme="majorBidi" w:cstheme="majorBidi"/>
          <w:b/>
          <w:bCs/>
          <w:sz w:val="24"/>
          <w:szCs w:val="24"/>
        </w:rPr>
      </w:pPr>
      <w:r w:rsidRPr="00D32C7E">
        <w:rPr>
          <w:rFonts w:asciiTheme="majorBidi" w:hAnsiTheme="majorBidi" w:cstheme="majorBidi"/>
          <w:b/>
          <w:bCs/>
          <w:sz w:val="24"/>
          <w:szCs w:val="24"/>
        </w:rPr>
        <w:t>Contrôle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Réactions d’identification des principes actifs et des excipients.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Dosage du principe actif.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Mesure du pH et du pouvoir tampon.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Abaissement cryoscopique.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 xml:space="preserve">Stérilité. </w:t>
      </w:r>
    </w:p>
    <w:p w:rsidR="00544C32" w:rsidRPr="00D32C7E" w:rsidRDefault="00544C32" w:rsidP="00544C32">
      <w:pPr>
        <w:pStyle w:val="Paragraphedeliste"/>
        <w:numPr>
          <w:ilvl w:val="0"/>
          <w:numId w:val="32"/>
        </w:numPr>
        <w:spacing w:line="360" w:lineRule="auto"/>
        <w:jc w:val="both"/>
        <w:rPr>
          <w:rFonts w:asciiTheme="majorBidi" w:hAnsiTheme="majorBidi" w:cstheme="majorBidi"/>
          <w:sz w:val="24"/>
          <w:szCs w:val="24"/>
        </w:rPr>
      </w:pPr>
      <w:r w:rsidRPr="00D32C7E">
        <w:rPr>
          <w:rFonts w:asciiTheme="majorBidi" w:hAnsiTheme="majorBidi" w:cstheme="majorBidi"/>
          <w:sz w:val="24"/>
          <w:szCs w:val="24"/>
        </w:rPr>
        <w:t>Test de l’irritation oculaire chez lapin.</w:t>
      </w:r>
    </w:p>
    <w:p w:rsidR="00BE3B59" w:rsidRPr="00D32C7E" w:rsidRDefault="00BE3B59" w:rsidP="004E12C6">
      <w:pPr>
        <w:rPr>
          <w:rFonts w:asciiTheme="majorBidi" w:hAnsiTheme="majorBidi" w:cstheme="majorBidi"/>
        </w:rPr>
      </w:pPr>
    </w:p>
    <w:sectPr w:rsidR="00BE3B59" w:rsidRPr="00D32C7E" w:rsidSect="00F13E1F">
      <w:headerReference w:type="default" r:id="rId11"/>
      <w:footerReference w:type="default" r:id="rId12"/>
      <w:pgSz w:w="11906" w:h="16838"/>
      <w:pgMar w:top="1417" w:right="1417" w:bottom="1417" w:left="1417" w:header="708" w:footer="708" w:gutter="0"/>
      <w:pgNumType w:start="5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77D" w:rsidRDefault="00DF277D" w:rsidP="0061439F">
      <w:pPr>
        <w:spacing w:after="0" w:line="240" w:lineRule="auto"/>
      </w:pPr>
      <w:r>
        <w:separator/>
      </w:r>
    </w:p>
  </w:endnote>
  <w:endnote w:type="continuationSeparator" w:id="1">
    <w:p w:rsidR="00DF277D" w:rsidRDefault="00DF277D" w:rsidP="00614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870228"/>
      <w:docPartObj>
        <w:docPartGallery w:val="Page Numbers (Bottom of Page)"/>
        <w:docPartUnique/>
      </w:docPartObj>
    </w:sdtPr>
    <w:sdtContent>
      <w:p w:rsidR="00F32183" w:rsidRDefault="00402BD5">
        <w:pPr>
          <w:pStyle w:val="Pieddepage"/>
          <w:jc w:val="center"/>
        </w:pPr>
        <w:r w:rsidRPr="00B85ED9">
          <w:rPr>
            <w:rFonts w:asciiTheme="majorBidi" w:hAnsiTheme="majorBidi" w:cstheme="majorBidi"/>
            <w:sz w:val="20"/>
            <w:szCs w:val="20"/>
          </w:rPr>
          <w:fldChar w:fldCharType="begin"/>
        </w:r>
        <w:r w:rsidR="009A3F47" w:rsidRPr="00B85ED9">
          <w:rPr>
            <w:rFonts w:asciiTheme="majorBidi" w:hAnsiTheme="majorBidi" w:cstheme="majorBidi"/>
            <w:sz w:val="20"/>
            <w:szCs w:val="20"/>
          </w:rPr>
          <w:instrText xml:space="preserve"> PAGE   \* MERGEFORMAT </w:instrText>
        </w:r>
        <w:r w:rsidRPr="00B85ED9">
          <w:rPr>
            <w:rFonts w:asciiTheme="majorBidi" w:hAnsiTheme="majorBidi" w:cstheme="majorBidi"/>
            <w:sz w:val="20"/>
            <w:szCs w:val="20"/>
          </w:rPr>
          <w:fldChar w:fldCharType="separate"/>
        </w:r>
        <w:r w:rsidR="004A261D">
          <w:rPr>
            <w:rFonts w:asciiTheme="majorBidi" w:hAnsiTheme="majorBidi" w:cstheme="majorBidi"/>
            <w:noProof/>
            <w:sz w:val="20"/>
            <w:szCs w:val="20"/>
          </w:rPr>
          <w:t>57</w:t>
        </w:r>
        <w:r w:rsidRPr="00B85ED9">
          <w:rPr>
            <w:rFonts w:asciiTheme="majorBidi" w:hAnsiTheme="majorBidi" w:cstheme="majorBidi"/>
            <w:sz w:val="20"/>
            <w:szCs w:val="20"/>
          </w:rPr>
          <w:fldChar w:fldCharType="end"/>
        </w:r>
      </w:p>
    </w:sdtContent>
  </w:sdt>
  <w:p w:rsidR="00F32183" w:rsidRDefault="00F3218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77D" w:rsidRDefault="00DF277D" w:rsidP="0061439F">
      <w:pPr>
        <w:spacing w:after="0" w:line="240" w:lineRule="auto"/>
      </w:pPr>
      <w:r>
        <w:separator/>
      </w:r>
    </w:p>
  </w:footnote>
  <w:footnote w:type="continuationSeparator" w:id="1">
    <w:p w:rsidR="00DF277D" w:rsidRDefault="00DF277D" w:rsidP="00614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183" w:rsidRPr="00D2702D" w:rsidRDefault="00F32183" w:rsidP="004A261D">
    <w:pPr>
      <w:pStyle w:val="En-tte"/>
      <w:pBdr>
        <w:between w:val="single" w:sz="4" w:space="1" w:color="4F81BD" w:themeColor="accent1"/>
      </w:pBdr>
      <w:tabs>
        <w:tab w:val="left" w:pos="3750"/>
      </w:tabs>
      <w:spacing w:line="276" w:lineRule="auto"/>
      <w:rPr>
        <w:sz w:val="28"/>
        <w:szCs w:val="28"/>
      </w:rPr>
    </w:pPr>
    <w:r w:rsidRPr="00D2702D">
      <w:rPr>
        <w:rFonts w:asciiTheme="majorBidi" w:hAnsiTheme="majorBidi" w:cstheme="majorBidi"/>
        <w:b/>
        <w:bCs/>
        <w:sz w:val="28"/>
        <w:szCs w:val="28"/>
      </w:rPr>
      <w:t>Chapitre IV</w:t>
    </w:r>
    <w:r w:rsidRPr="00D2702D">
      <w:rPr>
        <w:sz w:val="28"/>
        <w:szCs w:val="28"/>
      </w:rPr>
      <w:t xml:space="preserve">                                                 </w:t>
    </w:r>
    <w:r>
      <w:rPr>
        <w:sz w:val="28"/>
        <w:szCs w:val="28"/>
      </w:rPr>
      <w:t xml:space="preserve"> </w:t>
    </w:r>
    <w:r w:rsidRPr="00D2702D">
      <w:rPr>
        <w:sz w:val="28"/>
        <w:szCs w:val="28"/>
      </w:rPr>
      <w:t xml:space="preserve"> </w:t>
    </w:r>
    <w:r w:rsidR="004A261D">
      <w:rPr>
        <w:rFonts w:asciiTheme="majorBidi" w:hAnsiTheme="majorBidi" w:cstheme="majorBidi"/>
        <w:b/>
        <w:bCs/>
        <w:sz w:val="28"/>
        <w:szCs w:val="28"/>
      </w:rPr>
      <w:t>Formes des médicaments</w:t>
    </w:r>
    <w:r w:rsidRPr="00D2702D">
      <w:rPr>
        <w:rFonts w:asciiTheme="majorBidi" w:hAnsiTheme="majorBidi" w:cstheme="majorBidi"/>
        <w:b/>
        <w:bCs/>
        <w:sz w:val="28"/>
        <w:szCs w:val="28"/>
      </w:rPr>
      <w:t xml:space="preserve"> liquides</w:t>
    </w:r>
  </w:p>
  <w:p w:rsidR="00F32183" w:rsidRDefault="00F32183">
    <w:pPr>
      <w:pStyle w:val="En-tte"/>
      <w:pBdr>
        <w:between w:val="single" w:sz="4" w:space="1" w:color="4F81BD" w:themeColor="accent1"/>
      </w:pBdr>
      <w:spacing w:line="276" w:lineRule="auto"/>
      <w:jc w:val="center"/>
    </w:pPr>
  </w:p>
  <w:p w:rsidR="00F32183" w:rsidRDefault="00F3218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6E61"/>
      </v:shape>
    </w:pict>
  </w:numPicBullet>
  <w:abstractNum w:abstractNumId="0">
    <w:nsid w:val="02B63435"/>
    <w:multiLevelType w:val="hybridMultilevel"/>
    <w:tmpl w:val="9B52421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F636F7"/>
    <w:multiLevelType w:val="hybridMultilevel"/>
    <w:tmpl w:val="D7209B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C633E8"/>
    <w:multiLevelType w:val="hybridMultilevel"/>
    <w:tmpl w:val="71FC4566"/>
    <w:lvl w:ilvl="0" w:tplc="EDAC7A72">
      <w:start w:val="1"/>
      <w:numFmt w:val="upperLetter"/>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08BF38E4"/>
    <w:multiLevelType w:val="hybridMultilevel"/>
    <w:tmpl w:val="8EF866F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F25225"/>
    <w:multiLevelType w:val="hybridMultilevel"/>
    <w:tmpl w:val="1584B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FC1E27"/>
    <w:multiLevelType w:val="hybridMultilevel"/>
    <w:tmpl w:val="D56055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E27145"/>
    <w:multiLevelType w:val="hybridMultilevel"/>
    <w:tmpl w:val="51743F26"/>
    <w:lvl w:ilvl="0" w:tplc="1702F6A6">
      <w:start w:val="1"/>
      <w:numFmt w:val="upperLetter"/>
      <w:lvlText w:val="%1."/>
      <w:lvlJc w:val="lef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23D73F4"/>
    <w:multiLevelType w:val="hybridMultilevel"/>
    <w:tmpl w:val="32D80D8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3D5D59"/>
    <w:multiLevelType w:val="hybridMultilevel"/>
    <w:tmpl w:val="5CAEE330"/>
    <w:lvl w:ilvl="0" w:tplc="13980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9993588"/>
    <w:multiLevelType w:val="hybridMultilevel"/>
    <w:tmpl w:val="A4B68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A2C3E9B"/>
    <w:multiLevelType w:val="hybridMultilevel"/>
    <w:tmpl w:val="173A8F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E414A44"/>
    <w:multiLevelType w:val="hybridMultilevel"/>
    <w:tmpl w:val="9580BD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F4B3B0D"/>
    <w:multiLevelType w:val="hybridMultilevel"/>
    <w:tmpl w:val="7048E3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0C31335"/>
    <w:multiLevelType w:val="hybridMultilevel"/>
    <w:tmpl w:val="039CF3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86569B9"/>
    <w:multiLevelType w:val="hybridMultilevel"/>
    <w:tmpl w:val="80C0B1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8EE6F36"/>
    <w:multiLevelType w:val="hybridMultilevel"/>
    <w:tmpl w:val="3BA8E448"/>
    <w:lvl w:ilvl="0" w:tplc="272ACDC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D567DB7"/>
    <w:multiLevelType w:val="hybridMultilevel"/>
    <w:tmpl w:val="678AB4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07960D0"/>
    <w:multiLevelType w:val="hybridMultilevel"/>
    <w:tmpl w:val="AA02919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720A7F"/>
    <w:multiLevelType w:val="hybridMultilevel"/>
    <w:tmpl w:val="840AF042"/>
    <w:lvl w:ilvl="0" w:tplc="BEA68A2A">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7EA3B8D"/>
    <w:multiLevelType w:val="hybridMultilevel"/>
    <w:tmpl w:val="C50278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DD2338"/>
    <w:multiLevelType w:val="hybridMultilevel"/>
    <w:tmpl w:val="8F4027C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E224E8D"/>
    <w:multiLevelType w:val="hybridMultilevel"/>
    <w:tmpl w:val="264A4A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09D090A"/>
    <w:multiLevelType w:val="hybridMultilevel"/>
    <w:tmpl w:val="F43E91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FC5F04"/>
    <w:multiLevelType w:val="hybridMultilevel"/>
    <w:tmpl w:val="E61A24E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E2E11E0"/>
    <w:multiLevelType w:val="hybridMultilevel"/>
    <w:tmpl w:val="C76E7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6B6C6A"/>
    <w:multiLevelType w:val="hybridMultilevel"/>
    <w:tmpl w:val="6E24E4BC"/>
    <w:lvl w:ilvl="0" w:tplc="13980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C630465"/>
    <w:multiLevelType w:val="hybridMultilevel"/>
    <w:tmpl w:val="A2645E0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F30A58"/>
    <w:multiLevelType w:val="hybridMultilevel"/>
    <w:tmpl w:val="719830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1F0F2B"/>
    <w:multiLevelType w:val="hybridMultilevel"/>
    <w:tmpl w:val="E65E2410"/>
    <w:lvl w:ilvl="0" w:tplc="13980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1B81C97"/>
    <w:multiLevelType w:val="hybridMultilevel"/>
    <w:tmpl w:val="04849D6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2C15EC0"/>
    <w:multiLevelType w:val="hybridMultilevel"/>
    <w:tmpl w:val="88A83D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30510D8"/>
    <w:multiLevelType w:val="hybridMultilevel"/>
    <w:tmpl w:val="C96021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79B6FE3"/>
    <w:multiLevelType w:val="hybridMultilevel"/>
    <w:tmpl w:val="5ADC386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BB430D8"/>
    <w:multiLevelType w:val="hybridMultilevel"/>
    <w:tmpl w:val="134EE06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F3350AA"/>
    <w:multiLevelType w:val="hybridMultilevel"/>
    <w:tmpl w:val="5EF41998"/>
    <w:lvl w:ilvl="0" w:tplc="13980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F6C59D4"/>
    <w:multiLevelType w:val="hybridMultilevel"/>
    <w:tmpl w:val="4524FE1A"/>
    <w:lvl w:ilvl="0" w:tplc="094E6FD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0D44FCA"/>
    <w:multiLevelType w:val="hybridMultilevel"/>
    <w:tmpl w:val="6FACA01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119170F"/>
    <w:multiLevelType w:val="hybridMultilevel"/>
    <w:tmpl w:val="ABDE067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3416269"/>
    <w:multiLevelType w:val="hybridMultilevel"/>
    <w:tmpl w:val="49744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5115409"/>
    <w:multiLevelType w:val="hybridMultilevel"/>
    <w:tmpl w:val="433851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F454359"/>
    <w:multiLevelType w:val="hybridMultilevel"/>
    <w:tmpl w:val="C826E35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4"/>
  </w:num>
  <w:num w:numId="3">
    <w:abstractNumId w:val="22"/>
  </w:num>
  <w:num w:numId="4">
    <w:abstractNumId w:val="5"/>
  </w:num>
  <w:num w:numId="5">
    <w:abstractNumId w:val="11"/>
  </w:num>
  <w:num w:numId="6">
    <w:abstractNumId w:val="35"/>
  </w:num>
  <w:num w:numId="7">
    <w:abstractNumId w:val="13"/>
  </w:num>
  <w:num w:numId="8">
    <w:abstractNumId w:val="29"/>
  </w:num>
  <w:num w:numId="9">
    <w:abstractNumId w:val="26"/>
  </w:num>
  <w:num w:numId="10">
    <w:abstractNumId w:val="16"/>
  </w:num>
  <w:num w:numId="11">
    <w:abstractNumId w:val="21"/>
  </w:num>
  <w:num w:numId="12">
    <w:abstractNumId w:val="39"/>
  </w:num>
  <w:num w:numId="13">
    <w:abstractNumId w:val="32"/>
  </w:num>
  <w:num w:numId="14">
    <w:abstractNumId w:val="36"/>
  </w:num>
  <w:num w:numId="15">
    <w:abstractNumId w:val="14"/>
  </w:num>
  <w:num w:numId="16">
    <w:abstractNumId w:val="31"/>
  </w:num>
  <w:num w:numId="17">
    <w:abstractNumId w:val="1"/>
  </w:num>
  <w:num w:numId="18">
    <w:abstractNumId w:val="0"/>
  </w:num>
  <w:num w:numId="19">
    <w:abstractNumId w:val="19"/>
  </w:num>
  <w:num w:numId="20">
    <w:abstractNumId w:val="7"/>
  </w:num>
  <w:num w:numId="21">
    <w:abstractNumId w:val="20"/>
  </w:num>
  <w:num w:numId="22">
    <w:abstractNumId w:val="30"/>
  </w:num>
  <w:num w:numId="23">
    <w:abstractNumId w:val="6"/>
  </w:num>
  <w:num w:numId="24">
    <w:abstractNumId w:val="40"/>
  </w:num>
  <w:num w:numId="25">
    <w:abstractNumId w:val="12"/>
  </w:num>
  <w:num w:numId="26">
    <w:abstractNumId w:val="10"/>
  </w:num>
  <w:num w:numId="27">
    <w:abstractNumId w:val="37"/>
  </w:num>
  <w:num w:numId="28">
    <w:abstractNumId w:val="33"/>
  </w:num>
  <w:num w:numId="29">
    <w:abstractNumId w:val="23"/>
  </w:num>
  <w:num w:numId="30">
    <w:abstractNumId w:val="28"/>
  </w:num>
  <w:num w:numId="31">
    <w:abstractNumId w:val="3"/>
  </w:num>
  <w:num w:numId="32">
    <w:abstractNumId w:val="9"/>
  </w:num>
  <w:num w:numId="33">
    <w:abstractNumId w:val="2"/>
  </w:num>
  <w:num w:numId="34">
    <w:abstractNumId w:val="18"/>
  </w:num>
  <w:num w:numId="35">
    <w:abstractNumId w:val="8"/>
  </w:num>
  <w:num w:numId="36">
    <w:abstractNumId w:val="34"/>
  </w:num>
  <w:num w:numId="37">
    <w:abstractNumId w:val="25"/>
  </w:num>
  <w:num w:numId="38">
    <w:abstractNumId w:val="38"/>
  </w:num>
  <w:num w:numId="39">
    <w:abstractNumId w:val="17"/>
  </w:num>
  <w:num w:numId="40">
    <w:abstractNumId w:val="15"/>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A619C"/>
    <w:rsid w:val="00044933"/>
    <w:rsid w:val="0004701A"/>
    <w:rsid w:val="000A3FF8"/>
    <w:rsid w:val="000E236A"/>
    <w:rsid w:val="00122CE4"/>
    <w:rsid w:val="00123A7C"/>
    <w:rsid w:val="00144CDA"/>
    <w:rsid w:val="00146320"/>
    <w:rsid w:val="00151D98"/>
    <w:rsid w:val="001B776C"/>
    <w:rsid w:val="001E628B"/>
    <w:rsid w:val="00202CD7"/>
    <w:rsid w:val="00210CD8"/>
    <w:rsid w:val="00214859"/>
    <w:rsid w:val="00240539"/>
    <w:rsid w:val="00240756"/>
    <w:rsid w:val="00253703"/>
    <w:rsid w:val="00266276"/>
    <w:rsid w:val="002A03D5"/>
    <w:rsid w:val="002D4140"/>
    <w:rsid w:val="002E2E31"/>
    <w:rsid w:val="002E4E8C"/>
    <w:rsid w:val="002E7A85"/>
    <w:rsid w:val="002F4874"/>
    <w:rsid w:val="00320992"/>
    <w:rsid w:val="0032644B"/>
    <w:rsid w:val="0036447E"/>
    <w:rsid w:val="0036560F"/>
    <w:rsid w:val="00381884"/>
    <w:rsid w:val="00382724"/>
    <w:rsid w:val="003B18EB"/>
    <w:rsid w:val="00401DD7"/>
    <w:rsid w:val="00402BD5"/>
    <w:rsid w:val="004069F8"/>
    <w:rsid w:val="00410800"/>
    <w:rsid w:val="00434537"/>
    <w:rsid w:val="00460842"/>
    <w:rsid w:val="004933F1"/>
    <w:rsid w:val="004A261D"/>
    <w:rsid w:val="004E12C6"/>
    <w:rsid w:val="004E2C5E"/>
    <w:rsid w:val="004F2B2D"/>
    <w:rsid w:val="00514B1F"/>
    <w:rsid w:val="00522C52"/>
    <w:rsid w:val="00540118"/>
    <w:rsid w:val="00544C32"/>
    <w:rsid w:val="005745ED"/>
    <w:rsid w:val="005937AA"/>
    <w:rsid w:val="0059423B"/>
    <w:rsid w:val="005A1741"/>
    <w:rsid w:val="005C3169"/>
    <w:rsid w:val="005D6F67"/>
    <w:rsid w:val="0061439F"/>
    <w:rsid w:val="00625504"/>
    <w:rsid w:val="006324D7"/>
    <w:rsid w:val="00665BE6"/>
    <w:rsid w:val="00667723"/>
    <w:rsid w:val="0068541D"/>
    <w:rsid w:val="00697BC2"/>
    <w:rsid w:val="006E3499"/>
    <w:rsid w:val="006E494A"/>
    <w:rsid w:val="006E7BFD"/>
    <w:rsid w:val="006F03C3"/>
    <w:rsid w:val="00745B4A"/>
    <w:rsid w:val="00787E85"/>
    <w:rsid w:val="007B0786"/>
    <w:rsid w:val="007C4CF1"/>
    <w:rsid w:val="007E64CA"/>
    <w:rsid w:val="007F6BBC"/>
    <w:rsid w:val="008065E0"/>
    <w:rsid w:val="00827C1B"/>
    <w:rsid w:val="00837E6A"/>
    <w:rsid w:val="00865E51"/>
    <w:rsid w:val="00893C03"/>
    <w:rsid w:val="00914547"/>
    <w:rsid w:val="0094697D"/>
    <w:rsid w:val="00974BBB"/>
    <w:rsid w:val="009869FE"/>
    <w:rsid w:val="0099545E"/>
    <w:rsid w:val="009971DB"/>
    <w:rsid w:val="009A1A4E"/>
    <w:rsid w:val="009A3F47"/>
    <w:rsid w:val="009B7BC9"/>
    <w:rsid w:val="00A0543B"/>
    <w:rsid w:val="00A54534"/>
    <w:rsid w:val="00A82DD0"/>
    <w:rsid w:val="00AB3F21"/>
    <w:rsid w:val="00AE1D42"/>
    <w:rsid w:val="00AE4BD7"/>
    <w:rsid w:val="00AF4356"/>
    <w:rsid w:val="00AF451E"/>
    <w:rsid w:val="00B0127C"/>
    <w:rsid w:val="00B145D8"/>
    <w:rsid w:val="00B34BA8"/>
    <w:rsid w:val="00B7206A"/>
    <w:rsid w:val="00B85ED9"/>
    <w:rsid w:val="00B9007F"/>
    <w:rsid w:val="00B90F72"/>
    <w:rsid w:val="00BA63A7"/>
    <w:rsid w:val="00BC1226"/>
    <w:rsid w:val="00BE3B59"/>
    <w:rsid w:val="00BF0402"/>
    <w:rsid w:val="00C24761"/>
    <w:rsid w:val="00C279CF"/>
    <w:rsid w:val="00C42963"/>
    <w:rsid w:val="00C611CD"/>
    <w:rsid w:val="00C750CF"/>
    <w:rsid w:val="00CC2B7C"/>
    <w:rsid w:val="00CC5A8D"/>
    <w:rsid w:val="00CD6581"/>
    <w:rsid w:val="00CF7EB8"/>
    <w:rsid w:val="00D2702D"/>
    <w:rsid w:val="00D32C7E"/>
    <w:rsid w:val="00D335A9"/>
    <w:rsid w:val="00D34261"/>
    <w:rsid w:val="00D76599"/>
    <w:rsid w:val="00D93F0F"/>
    <w:rsid w:val="00DA2742"/>
    <w:rsid w:val="00DA66EE"/>
    <w:rsid w:val="00DC1C5A"/>
    <w:rsid w:val="00DD0C7A"/>
    <w:rsid w:val="00DE60FA"/>
    <w:rsid w:val="00DF277D"/>
    <w:rsid w:val="00DF333B"/>
    <w:rsid w:val="00E12584"/>
    <w:rsid w:val="00E149E8"/>
    <w:rsid w:val="00E20442"/>
    <w:rsid w:val="00E23CA6"/>
    <w:rsid w:val="00E61886"/>
    <w:rsid w:val="00E720B3"/>
    <w:rsid w:val="00E76505"/>
    <w:rsid w:val="00E90421"/>
    <w:rsid w:val="00E955D6"/>
    <w:rsid w:val="00E9738D"/>
    <w:rsid w:val="00EB22D7"/>
    <w:rsid w:val="00ED18E5"/>
    <w:rsid w:val="00F05C2C"/>
    <w:rsid w:val="00F064E1"/>
    <w:rsid w:val="00F13E1F"/>
    <w:rsid w:val="00F2151F"/>
    <w:rsid w:val="00F270D5"/>
    <w:rsid w:val="00F32183"/>
    <w:rsid w:val="00F71AAF"/>
    <w:rsid w:val="00F77724"/>
    <w:rsid w:val="00FA22A3"/>
    <w:rsid w:val="00FA619C"/>
    <w:rsid w:val="00FA6BFB"/>
    <w:rsid w:val="00FC5F14"/>
    <w:rsid w:val="00FC72BD"/>
    <w:rsid w:val="00FD00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8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1439F"/>
    <w:pPr>
      <w:tabs>
        <w:tab w:val="center" w:pos="4536"/>
        <w:tab w:val="right" w:pos="9072"/>
      </w:tabs>
      <w:spacing w:after="0" w:line="240" w:lineRule="auto"/>
    </w:pPr>
  </w:style>
  <w:style w:type="character" w:customStyle="1" w:styleId="En-tteCar">
    <w:name w:val="En-tête Car"/>
    <w:basedOn w:val="Policepardfaut"/>
    <w:link w:val="En-tte"/>
    <w:uiPriority w:val="99"/>
    <w:rsid w:val="0061439F"/>
  </w:style>
  <w:style w:type="paragraph" w:styleId="Pieddepage">
    <w:name w:val="footer"/>
    <w:basedOn w:val="Normal"/>
    <w:link w:val="PieddepageCar"/>
    <w:uiPriority w:val="99"/>
    <w:unhideWhenUsed/>
    <w:rsid w:val="006143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439F"/>
  </w:style>
  <w:style w:type="paragraph" w:styleId="Paragraphedeliste">
    <w:name w:val="List Paragraph"/>
    <w:basedOn w:val="Normal"/>
    <w:uiPriority w:val="34"/>
    <w:qFormat/>
    <w:rsid w:val="0061439F"/>
    <w:pPr>
      <w:ind w:left="720"/>
      <w:contextualSpacing/>
    </w:pPr>
  </w:style>
  <w:style w:type="table" w:styleId="Grilledutableau">
    <w:name w:val="Table Grid"/>
    <w:basedOn w:val="TableauNormal"/>
    <w:uiPriority w:val="59"/>
    <w:rsid w:val="00DC1C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B3F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3F21"/>
    <w:rPr>
      <w:rFonts w:ascii="Tahoma" w:hAnsi="Tahoma" w:cs="Tahoma"/>
      <w:sz w:val="16"/>
      <w:szCs w:val="16"/>
    </w:rPr>
  </w:style>
  <w:style w:type="table" w:customStyle="1" w:styleId="Ombrageclair1">
    <w:name w:val="Ombrage clair1"/>
    <w:basedOn w:val="TableauNormal"/>
    <w:uiPriority w:val="60"/>
    <w:rsid w:val="007B078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58492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19</Pages>
  <Words>4434</Words>
  <Characters>24390</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aci</cp:lastModifiedBy>
  <cp:revision>12</cp:revision>
  <dcterms:created xsi:type="dcterms:W3CDTF">2020-12-04T12:35:00Z</dcterms:created>
  <dcterms:modified xsi:type="dcterms:W3CDTF">2021-01-23T10:43:00Z</dcterms:modified>
</cp:coreProperties>
</file>