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3C1" w:rsidRDefault="00B173C1" w:rsidP="008B269E">
      <w:pPr>
        <w:spacing w:before="300" w:after="60" w:line="240" w:lineRule="auto"/>
        <w:rPr>
          <w:rFonts w:ascii="Arial" w:eastAsia="Times New Roman" w:hAnsi="Arial" w:cs="Arial"/>
          <w:b/>
          <w:bCs/>
          <w:color w:val="009100"/>
          <w:sz w:val="18"/>
          <w:szCs w:val="18"/>
          <w:lang w:eastAsia="fr-FR"/>
        </w:rPr>
      </w:pPr>
    </w:p>
    <w:p w:rsidR="00B173C1" w:rsidRDefault="00B173C1" w:rsidP="008B269E">
      <w:pPr>
        <w:spacing w:before="300" w:after="60" w:line="240" w:lineRule="auto"/>
        <w:rPr>
          <w:rFonts w:ascii="Arial" w:eastAsia="Times New Roman" w:hAnsi="Arial" w:cs="Arial"/>
          <w:b/>
          <w:bCs/>
          <w:color w:val="009100"/>
          <w:sz w:val="18"/>
          <w:szCs w:val="18"/>
          <w:lang w:eastAsia="fr-FR"/>
        </w:rPr>
      </w:pPr>
      <w:r>
        <w:t>2. Normes spécifiques à l’automatique</w:t>
      </w:r>
    </w:p>
    <w:p w:rsidR="008B269E" w:rsidRPr="008B269E" w:rsidRDefault="008B269E" w:rsidP="008B269E">
      <w:pPr>
        <w:spacing w:before="300" w:after="60" w:line="240" w:lineRule="auto"/>
        <w:rPr>
          <w:rFonts w:ascii="Arial" w:eastAsia="Times New Roman" w:hAnsi="Arial" w:cs="Arial"/>
          <w:b/>
          <w:bCs/>
          <w:color w:val="009100"/>
          <w:sz w:val="18"/>
          <w:szCs w:val="18"/>
          <w:lang w:eastAsia="fr-FR"/>
        </w:rPr>
      </w:pPr>
      <w:r w:rsidRPr="008B269E">
        <w:rPr>
          <w:rFonts w:ascii="Arial" w:eastAsia="Times New Roman" w:hAnsi="Arial" w:cs="Arial"/>
          <w:b/>
          <w:bCs/>
          <w:color w:val="009100"/>
          <w:sz w:val="18"/>
          <w:szCs w:val="18"/>
          <w:lang w:eastAsia="fr-FR"/>
        </w:rPr>
        <w:t>Terminologie utilisée dans les normes</w:t>
      </w:r>
    </w:p>
    <w:p w:rsidR="008B269E" w:rsidRPr="008B269E" w:rsidRDefault="008B269E" w:rsidP="008B269E">
      <w:pPr>
        <w:spacing w:after="80" w:line="240" w:lineRule="auto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8B269E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Les termes techniques, la terminologie, les symboles et les descriptions correspondantes employés dans ce manuel ou figurant dans ou sur les produits proviennent généralement des normes internationales.</w:t>
      </w:r>
    </w:p>
    <w:p w:rsidR="008B269E" w:rsidRPr="008B269E" w:rsidRDefault="008B269E" w:rsidP="008B269E">
      <w:pPr>
        <w:spacing w:after="80" w:line="240" w:lineRule="auto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8B269E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Dans les domaines des systèmes de sécurité fonctionnelle, des variateurs et de l'automatisme en général, les termes employés sont </w:t>
      </w:r>
      <w:r w:rsidRPr="008B269E">
        <w:rPr>
          <w:rFonts w:ascii="Arial" w:eastAsia="Times New Roman" w:hAnsi="Arial" w:cs="Arial"/>
          <w:i/>
          <w:iCs/>
          <w:color w:val="000000"/>
          <w:sz w:val="18"/>
          <w:szCs w:val="18"/>
          <w:lang w:eastAsia="fr-FR"/>
        </w:rPr>
        <w:t>sécurité</w:t>
      </w:r>
      <w:r w:rsidRPr="008B269E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, </w:t>
      </w:r>
      <w:r w:rsidRPr="008B269E">
        <w:rPr>
          <w:rFonts w:ascii="Arial" w:eastAsia="Times New Roman" w:hAnsi="Arial" w:cs="Arial"/>
          <w:i/>
          <w:iCs/>
          <w:color w:val="000000"/>
          <w:sz w:val="18"/>
          <w:szCs w:val="18"/>
          <w:lang w:eastAsia="fr-FR"/>
        </w:rPr>
        <w:t>fonction de sécurité</w:t>
      </w:r>
      <w:r w:rsidRPr="008B269E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, </w:t>
      </w:r>
      <w:r w:rsidRPr="008B269E">
        <w:rPr>
          <w:rFonts w:ascii="Arial" w:eastAsia="Times New Roman" w:hAnsi="Arial" w:cs="Arial"/>
          <w:i/>
          <w:iCs/>
          <w:color w:val="000000"/>
          <w:sz w:val="18"/>
          <w:szCs w:val="18"/>
          <w:lang w:eastAsia="fr-FR"/>
        </w:rPr>
        <w:t>état sécurisé</w:t>
      </w:r>
      <w:r w:rsidRPr="008B269E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, </w:t>
      </w:r>
      <w:r w:rsidRPr="008B269E">
        <w:rPr>
          <w:rFonts w:ascii="Arial" w:eastAsia="Times New Roman" w:hAnsi="Arial" w:cs="Arial"/>
          <w:i/>
          <w:iCs/>
          <w:color w:val="000000"/>
          <w:sz w:val="18"/>
          <w:szCs w:val="18"/>
          <w:lang w:eastAsia="fr-FR"/>
        </w:rPr>
        <w:t>défaut</w:t>
      </w:r>
      <w:r w:rsidRPr="008B269E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, </w:t>
      </w:r>
      <w:proofErr w:type="spellStart"/>
      <w:r w:rsidRPr="008B269E">
        <w:rPr>
          <w:rFonts w:ascii="Arial" w:eastAsia="Times New Roman" w:hAnsi="Arial" w:cs="Arial"/>
          <w:i/>
          <w:iCs/>
          <w:color w:val="000000"/>
          <w:sz w:val="18"/>
          <w:szCs w:val="18"/>
          <w:lang w:eastAsia="fr-FR"/>
        </w:rPr>
        <w:t>réinitiali</w:t>
      </w:r>
      <w:r w:rsidRPr="008B269E">
        <w:rPr>
          <w:rFonts w:ascii="Arial" w:eastAsia="Times New Roman" w:hAnsi="Arial" w:cs="Arial"/>
          <w:i/>
          <w:iCs/>
          <w:color w:val="000000"/>
          <w:sz w:val="18"/>
          <w:szCs w:val="18"/>
          <w:lang w:eastAsia="fr-FR"/>
        </w:rPr>
        <w:softHyphen/>
        <w:t>sation</w:t>
      </w:r>
      <w:proofErr w:type="spellEnd"/>
      <w:r w:rsidRPr="008B269E">
        <w:rPr>
          <w:rFonts w:ascii="Arial" w:eastAsia="Times New Roman" w:hAnsi="Arial" w:cs="Arial"/>
          <w:i/>
          <w:iCs/>
          <w:color w:val="000000"/>
          <w:sz w:val="18"/>
          <w:szCs w:val="18"/>
          <w:lang w:eastAsia="fr-FR"/>
        </w:rPr>
        <w:t xml:space="preserve"> du défaut</w:t>
      </w:r>
      <w:r w:rsidRPr="008B269E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, </w:t>
      </w:r>
      <w:r w:rsidRPr="008B269E">
        <w:rPr>
          <w:rFonts w:ascii="Arial" w:eastAsia="Times New Roman" w:hAnsi="Arial" w:cs="Arial"/>
          <w:i/>
          <w:iCs/>
          <w:color w:val="000000"/>
          <w:sz w:val="18"/>
          <w:szCs w:val="18"/>
          <w:lang w:eastAsia="fr-FR"/>
        </w:rPr>
        <w:t>dysfonctionnement</w:t>
      </w:r>
      <w:r w:rsidRPr="008B269E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, </w:t>
      </w:r>
      <w:r w:rsidRPr="008B269E">
        <w:rPr>
          <w:rFonts w:ascii="Arial" w:eastAsia="Times New Roman" w:hAnsi="Arial" w:cs="Arial"/>
          <w:i/>
          <w:iCs/>
          <w:color w:val="000000"/>
          <w:sz w:val="18"/>
          <w:szCs w:val="18"/>
          <w:lang w:eastAsia="fr-FR"/>
        </w:rPr>
        <w:t>panne</w:t>
      </w:r>
      <w:r w:rsidRPr="008B269E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, </w:t>
      </w:r>
      <w:r w:rsidRPr="008B269E">
        <w:rPr>
          <w:rFonts w:ascii="Arial" w:eastAsia="Times New Roman" w:hAnsi="Arial" w:cs="Arial"/>
          <w:i/>
          <w:iCs/>
          <w:color w:val="000000"/>
          <w:sz w:val="18"/>
          <w:szCs w:val="18"/>
          <w:lang w:eastAsia="fr-FR"/>
        </w:rPr>
        <w:t>erreur</w:t>
      </w:r>
      <w:r w:rsidRPr="008B269E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, </w:t>
      </w:r>
      <w:r w:rsidRPr="008B269E">
        <w:rPr>
          <w:rFonts w:ascii="Arial" w:eastAsia="Times New Roman" w:hAnsi="Arial" w:cs="Arial"/>
          <w:i/>
          <w:iCs/>
          <w:color w:val="000000"/>
          <w:sz w:val="18"/>
          <w:szCs w:val="18"/>
          <w:lang w:eastAsia="fr-FR"/>
        </w:rPr>
        <w:t>message d'erreur</w:t>
      </w:r>
      <w:r w:rsidRPr="008B269E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, </w:t>
      </w:r>
      <w:r w:rsidRPr="008B269E">
        <w:rPr>
          <w:rFonts w:ascii="Arial" w:eastAsia="Times New Roman" w:hAnsi="Arial" w:cs="Arial"/>
          <w:i/>
          <w:iCs/>
          <w:color w:val="000000"/>
          <w:sz w:val="18"/>
          <w:szCs w:val="18"/>
          <w:lang w:eastAsia="fr-FR"/>
        </w:rPr>
        <w:t>dangereux</w:t>
      </w:r>
      <w:r w:rsidRPr="008B269E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, etc.</w:t>
      </w:r>
    </w:p>
    <w:p w:rsidR="008B269E" w:rsidRPr="008B269E" w:rsidRDefault="008B269E" w:rsidP="008B269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8B269E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Entre autres, les normes concernées sont les suivantes :</w:t>
      </w:r>
    </w:p>
    <w:tbl>
      <w:tblPr>
        <w:tblW w:w="7868" w:type="dxa"/>
        <w:tblCellSpacing w:w="15" w:type="dxa"/>
        <w:tblCellMar>
          <w:top w:w="80" w:type="dxa"/>
          <w:left w:w="60" w:type="dxa"/>
          <w:bottom w:w="40" w:type="dxa"/>
          <w:right w:w="60" w:type="dxa"/>
        </w:tblCellMar>
        <w:tblLook w:val="04A0"/>
      </w:tblPr>
      <w:tblGrid>
        <w:gridCol w:w="2110"/>
        <w:gridCol w:w="5758"/>
      </w:tblGrid>
      <w:tr w:rsidR="008B269E" w:rsidRPr="008B269E" w:rsidTr="008B269E">
        <w:trPr>
          <w:trHeight w:val="280"/>
          <w:tblCellSpacing w:w="15" w:type="dxa"/>
        </w:trPr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B269E" w:rsidRPr="008B269E" w:rsidRDefault="008B269E" w:rsidP="008B26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B269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Norme</w:t>
            </w:r>
          </w:p>
        </w:tc>
        <w:tc>
          <w:tcPr>
            <w:tcW w:w="56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B269E" w:rsidRPr="008B269E" w:rsidRDefault="008B269E" w:rsidP="008B26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B269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Description</w:t>
            </w:r>
          </w:p>
        </w:tc>
      </w:tr>
      <w:tr w:rsidR="008B269E" w:rsidRPr="008B269E" w:rsidTr="008B269E">
        <w:trPr>
          <w:trHeight w:val="280"/>
          <w:tblCellSpacing w:w="15" w:type="dxa"/>
        </w:trPr>
        <w:tc>
          <w:tcPr>
            <w:tcW w:w="20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B269E" w:rsidRPr="008B269E" w:rsidRDefault="008B269E" w:rsidP="008B2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8B269E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IEC 61131-2:2007</w:t>
            </w:r>
          </w:p>
        </w:tc>
        <w:tc>
          <w:tcPr>
            <w:tcW w:w="5659" w:type="dxa"/>
            <w:tcBorders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B269E" w:rsidRPr="008B269E" w:rsidRDefault="008B269E" w:rsidP="008B2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8B269E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Automates programmables - Partie 2 : exigences et essais des équipements</w:t>
            </w:r>
          </w:p>
        </w:tc>
      </w:tr>
      <w:tr w:rsidR="008B269E" w:rsidRPr="008B269E" w:rsidTr="008B269E">
        <w:trPr>
          <w:trHeight w:val="680"/>
          <w:tblCellSpacing w:w="15" w:type="dxa"/>
        </w:trPr>
        <w:tc>
          <w:tcPr>
            <w:tcW w:w="20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B269E" w:rsidRPr="008B269E" w:rsidRDefault="008B269E" w:rsidP="008B2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8B269E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ISO 13849-1:2015</w:t>
            </w:r>
          </w:p>
        </w:tc>
        <w:tc>
          <w:tcPr>
            <w:tcW w:w="5659" w:type="dxa"/>
            <w:tcBorders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B269E" w:rsidRPr="008B269E" w:rsidRDefault="008B269E" w:rsidP="008B2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8B269E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Sécurité des machines : parties des systèmes de commande relatives à la sécurité.</w:t>
            </w:r>
          </w:p>
          <w:p w:rsidR="008B269E" w:rsidRPr="008B269E" w:rsidRDefault="008B269E" w:rsidP="008B2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8B269E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Principes généraux de conception</w:t>
            </w:r>
          </w:p>
        </w:tc>
      </w:tr>
      <w:tr w:rsidR="008B269E" w:rsidRPr="008B269E" w:rsidTr="008B269E">
        <w:trPr>
          <w:trHeight w:val="480"/>
          <w:tblCellSpacing w:w="15" w:type="dxa"/>
        </w:trPr>
        <w:tc>
          <w:tcPr>
            <w:tcW w:w="20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B269E" w:rsidRPr="008B269E" w:rsidRDefault="008B269E" w:rsidP="008B2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8B269E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EN 61496-1:2013</w:t>
            </w:r>
          </w:p>
        </w:tc>
        <w:tc>
          <w:tcPr>
            <w:tcW w:w="5659" w:type="dxa"/>
            <w:tcBorders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B269E" w:rsidRPr="008B269E" w:rsidRDefault="008B269E" w:rsidP="008B2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8B269E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Sécurité des machines : équipements de protection électro-sensibles.</w:t>
            </w:r>
          </w:p>
          <w:p w:rsidR="008B269E" w:rsidRPr="008B269E" w:rsidRDefault="008B269E" w:rsidP="008B2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8B269E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Partie 1 : Prescriptions générales et essais</w:t>
            </w:r>
          </w:p>
        </w:tc>
      </w:tr>
      <w:tr w:rsidR="008B269E" w:rsidRPr="008B269E" w:rsidTr="008B269E">
        <w:trPr>
          <w:trHeight w:val="480"/>
          <w:tblCellSpacing w:w="15" w:type="dxa"/>
        </w:trPr>
        <w:tc>
          <w:tcPr>
            <w:tcW w:w="20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B269E" w:rsidRPr="008B269E" w:rsidRDefault="008B269E" w:rsidP="008B2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8B269E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ISO 12100:2010</w:t>
            </w:r>
          </w:p>
        </w:tc>
        <w:tc>
          <w:tcPr>
            <w:tcW w:w="5659" w:type="dxa"/>
            <w:tcBorders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B269E" w:rsidRPr="008B269E" w:rsidRDefault="008B269E" w:rsidP="008B2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8B269E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Sécurité des machines - Principes généraux de conception - Appréciation du risque et réduction du risque</w:t>
            </w:r>
          </w:p>
        </w:tc>
      </w:tr>
      <w:tr w:rsidR="008B269E" w:rsidRPr="008B269E" w:rsidTr="008B269E">
        <w:trPr>
          <w:trHeight w:val="480"/>
          <w:tblCellSpacing w:w="15" w:type="dxa"/>
        </w:trPr>
        <w:tc>
          <w:tcPr>
            <w:tcW w:w="20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B269E" w:rsidRPr="008B269E" w:rsidRDefault="008B269E" w:rsidP="008B2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8B269E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EN 60204-1:2006</w:t>
            </w:r>
          </w:p>
        </w:tc>
        <w:tc>
          <w:tcPr>
            <w:tcW w:w="5659" w:type="dxa"/>
            <w:tcBorders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B269E" w:rsidRPr="008B269E" w:rsidRDefault="008B269E" w:rsidP="008B2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8B269E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Sécurité des machines - Équipement électrique des machines - Partie 1 : règles générales</w:t>
            </w:r>
          </w:p>
        </w:tc>
      </w:tr>
      <w:tr w:rsidR="008B269E" w:rsidRPr="008B269E" w:rsidTr="008B269E">
        <w:trPr>
          <w:trHeight w:val="480"/>
          <w:tblCellSpacing w:w="15" w:type="dxa"/>
        </w:trPr>
        <w:tc>
          <w:tcPr>
            <w:tcW w:w="20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B269E" w:rsidRPr="008B269E" w:rsidRDefault="008B269E" w:rsidP="008B2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8B269E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ISO 14119:2013</w:t>
            </w:r>
          </w:p>
        </w:tc>
        <w:tc>
          <w:tcPr>
            <w:tcW w:w="5659" w:type="dxa"/>
            <w:tcBorders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B269E" w:rsidRPr="008B269E" w:rsidRDefault="008B269E" w:rsidP="008B2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8B269E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Sécurité des machines - Dispositifs de verrouillage associés à des protecteurs - Principes de conception et de choix</w:t>
            </w:r>
          </w:p>
        </w:tc>
      </w:tr>
      <w:tr w:rsidR="008B269E" w:rsidRPr="008B269E" w:rsidTr="008B269E">
        <w:trPr>
          <w:trHeight w:val="280"/>
          <w:tblCellSpacing w:w="15" w:type="dxa"/>
        </w:trPr>
        <w:tc>
          <w:tcPr>
            <w:tcW w:w="20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B269E" w:rsidRPr="008B269E" w:rsidRDefault="008B269E" w:rsidP="008B2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8B269E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ISO 13850:2015</w:t>
            </w:r>
          </w:p>
        </w:tc>
        <w:tc>
          <w:tcPr>
            <w:tcW w:w="5659" w:type="dxa"/>
            <w:tcBorders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B269E" w:rsidRPr="008B269E" w:rsidRDefault="008B269E" w:rsidP="008B2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8B269E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Sécurité des machines - Fonction d'arrêt d'urgence - Principes de conception</w:t>
            </w:r>
          </w:p>
        </w:tc>
      </w:tr>
      <w:tr w:rsidR="008B269E" w:rsidRPr="008B269E" w:rsidTr="008B269E">
        <w:trPr>
          <w:trHeight w:val="480"/>
          <w:tblCellSpacing w:w="15" w:type="dxa"/>
        </w:trPr>
        <w:tc>
          <w:tcPr>
            <w:tcW w:w="20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B269E" w:rsidRPr="008B269E" w:rsidRDefault="008B269E" w:rsidP="008B2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8B269E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IEC 62061:2015</w:t>
            </w:r>
          </w:p>
        </w:tc>
        <w:tc>
          <w:tcPr>
            <w:tcW w:w="5659" w:type="dxa"/>
            <w:tcBorders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B269E" w:rsidRPr="008B269E" w:rsidRDefault="008B269E" w:rsidP="008B2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8B269E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Sécurité des machines - Sécurité fonctionnelle des systèmes de commande électrique, électronique et électronique programmable relatifs à la sécurité</w:t>
            </w:r>
          </w:p>
        </w:tc>
      </w:tr>
      <w:tr w:rsidR="008B269E" w:rsidRPr="008B269E" w:rsidTr="008B269E">
        <w:trPr>
          <w:trHeight w:val="480"/>
          <w:tblCellSpacing w:w="15" w:type="dxa"/>
        </w:trPr>
        <w:tc>
          <w:tcPr>
            <w:tcW w:w="20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B269E" w:rsidRPr="008B269E" w:rsidRDefault="008B269E" w:rsidP="008B2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8B269E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IEC 61508-1:2010</w:t>
            </w:r>
          </w:p>
        </w:tc>
        <w:tc>
          <w:tcPr>
            <w:tcW w:w="5659" w:type="dxa"/>
            <w:tcBorders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B269E" w:rsidRPr="008B269E" w:rsidRDefault="008B269E" w:rsidP="008B2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8B269E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Sécurité fonctionnelle des systèmes électriques/électroniques/électroniques programmables relatifs à la sécurité : prescriptions générales.</w:t>
            </w:r>
          </w:p>
        </w:tc>
      </w:tr>
      <w:tr w:rsidR="008B269E" w:rsidRPr="008B269E" w:rsidTr="008B269E">
        <w:trPr>
          <w:trHeight w:val="680"/>
          <w:tblCellSpacing w:w="15" w:type="dxa"/>
        </w:trPr>
        <w:tc>
          <w:tcPr>
            <w:tcW w:w="20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B269E" w:rsidRPr="008B269E" w:rsidRDefault="008B269E" w:rsidP="008B2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8B269E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IEC 61508-2:2010</w:t>
            </w:r>
          </w:p>
        </w:tc>
        <w:tc>
          <w:tcPr>
            <w:tcW w:w="5659" w:type="dxa"/>
            <w:tcBorders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B269E" w:rsidRPr="008B269E" w:rsidRDefault="008B269E" w:rsidP="008B2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8B269E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Sécurité fonctionnelle des systèmes électriques/électroniques/électroniques programmables relatifs à la sécurité : exigences pour les systèmes électriques/électroniques/électroniques programmables relatifs à la sécurité.</w:t>
            </w:r>
          </w:p>
        </w:tc>
      </w:tr>
      <w:tr w:rsidR="008B269E" w:rsidRPr="008B269E" w:rsidTr="008B269E">
        <w:trPr>
          <w:trHeight w:val="480"/>
          <w:tblCellSpacing w:w="15" w:type="dxa"/>
        </w:trPr>
        <w:tc>
          <w:tcPr>
            <w:tcW w:w="20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B269E" w:rsidRPr="008B269E" w:rsidRDefault="008B269E" w:rsidP="008B2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8B269E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IEC 61508-3:2010</w:t>
            </w:r>
          </w:p>
        </w:tc>
        <w:tc>
          <w:tcPr>
            <w:tcW w:w="5659" w:type="dxa"/>
            <w:tcBorders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B269E" w:rsidRPr="008B269E" w:rsidRDefault="008B269E" w:rsidP="008B2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8B269E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Sécurité fonctionnelle des systèmes électriques/électroniques/électroniques programmables relatifs à la sécurité : exigences concernant les logiciels.</w:t>
            </w:r>
          </w:p>
        </w:tc>
      </w:tr>
      <w:tr w:rsidR="008B269E" w:rsidRPr="008B269E" w:rsidTr="008B269E">
        <w:trPr>
          <w:trHeight w:val="480"/>
          <w:tblCellSpacing w:w="15" w:type="dxa"/>
        </w:trPr>
        <w:tc>
          <w:tcPr>
            <w:tcW w:w="20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B269E" w:rsidRPr="008B269E" w:rsidRDefault="008B269E" w:rsidP="008B2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8B269E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IEC 61784-3:2016</w:t>
            </w:r>
          </w:p>
        </w:tc>
        <w:tc>
          <w:tcPr>
            <w:tcW w:w="5659" w:type="dxa"/>
            <w:tcBorders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B269E" w:rsidRPr="008B269E" w:rsidRDefault="008B269E" w:rsidP="008B2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8B269E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Réseaux de communication industriels - Profils - Partie 3 : Bus de terrain de sécurité fonctionnelle - Règles générales et définitions de profils.</w:t>
            </w:r>
          </w:p>
        </w:tc>
      </w:tr>
      <w:tr w:rsidR="008B269E" w:rsidRPr="008B269E" w:rsidTr="008B269E">
        <w:trPr>
          <w:trHeight w:val="280"/>
          <w:tblCellSpacing w:w="15" w:type="dxa"/>
        </w:trPr>
        <w:tc>
          <w:tcPr>
            <w:tcW w:w="20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B269E" w:rsidRPr="008B269E" w:rsidRDefault="008B269E" w:rsidP="008B2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8B269E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2006/42/EC</w:t>
            </w:r>
          </w:p>
        </w:tc>
        <w:tc>
          <w:tcPr>
            <w:tcW w:w="5659" w:type="dxa"/>
            <w:tcBorders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B269E" w:rsidRPr="008B269E" w:rsidRDefault="008B269E" w:rsidP="008B2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8B269E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Directive Machines</w:t>
            </w:r>
          </w:p>
        </w:tc>
      </w:tr>
      <w:tr w:rsidR="008B269E" w:rsidRPr="008B269E" w:rsidTr="008B269E">
        <w:trPr>
          <w:trHeight w:val="280"/>
          <w:tblCellSpacing w:w="15" w:type="dxa"/>
        </w:trPr>
        <w:tc>
          <w:tcPr>
            <w:tcW w:w="20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B269E" w:rsidRPr="008B269E" w:rsidRDefault="008B269E" w:rsidP="008B2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8B269E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2014/30/EU</w:t>
            </w:r>
          </w:p>
        </w:tc>
        <w:tc>
          <w:tcPr>
            <w:tcW w:w="5659" w:type="dxa"/>
            <w:tcBorders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B269E" w:rsidRPr="008B269E" w:rsidRDefault="008B269E" w:rsidP="008B2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8B269E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Directive sur la compatibilité électromagnétique</w:t>
            </w:r>
          </w:p>
        </w:tc>
      </w:tr>
      <w:tr w:rsidR="008B269E" w:rsidRPr="008B269E" w:rsidTr="008B269E">
        <w:trPr>
          <w:trHeight w:val="280"/>
          <w:tblCellSpacing w:w="15" w:type="dxa"/>
        </w:trPr>
        <w:tc>
          <w:tcPr>
            <w:tcW w:w="20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B269E" w:rsidRPr="008B269E" w:rsidRDefault="008B269E" w:rsidP="008B2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8B269E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2014/35/EU</w:t>
            </w:r>
          </w:p>
        </w:tc>
        <w:tc>
          <w:tcPr>
            <w:tcW w:w="5659" w:type="dxa"/>
            <w:tcBorders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B269E" w:rsidRPr="008B269E" w:rsidRDefault="008B269E" w:rsidP="008B2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8B269E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Directive sur les basses tensions</w:t>
            </w:r>
          </w:p>
        </w:tc>
      </w:tr>
    </w:tbl>
    <w:p w:rsidR="008B269E" w:rsidRPr="008B269E" w:rsidRDefault="008B269E" w:rsidP="008B269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8B269E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De plus, des termes peuvent être utilisés dans le présent document car ils proviennent d'autres normes telles que :</w:t>
      </w:r>
    </w:p>
    <w:tbl>
      <w:tblPr>
        <w:tblW w:w="7899" w:type="dxa"/>
        <w:tblCellSpacing w:w="15" w:type="dxa"/>
        <w:tblCellMar>
          <w:top w:w="80" w:type="dxa"/>
          <w:left w:w="60" w:type="dxa"/>
          <w:bottom w:w="40" w:type="dxa"/>
          <w:right w:w="60" w:type="dxa"/>
        </w:tblCellMar>
        <w:tblLook w:val="04A0"/>
      </w:tblPr>
      <w:tblGrid>
        <w:gridCol w:w="2110"/>
        <w:gridCol w:w="5789"/>
      </w:tblGrid>
      <w:tr w:rsidR="008B269E" w:rsidRPr="008B269E" w:rsidTr="008B269E">
        <w:trPr>
          <w:trHeight w:val="280"/>
          <w:tblCellSpacing w:w="15" w:type="dxa"/>
        </w:trPr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B269E" w:rsidRPr="008B269E" w:rsidRDefault="008B269E" w:rsidP="008B26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B269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Norme</w:t>
            </w:r>
          </w:p>
        </w:tc>
        <w:tc>
          <w:tcPr>
            <w:tcW w:w="568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B269E" w:rsidRPr="008B269E" w:rsidRDefault="008B269E" w:rsidP="008B269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8B269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Description</w:t>
            </w:r>
          </w:p>
        </w:tc>
      </w:tr>
      <w:tr w:rsidR="008B269E" w:rsidRPr="008B269E" w:rsidTr="008B269E">
        <w:trPr>
          <w:trHeight w:val="280"/>
          <w:tblCellSpacing w:w="15" w:type="dxa"/>
        </w:trPr>
        <w:tc>
          <w:tcPr>
            <w:tcW w:w="20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B269E" w:rsidRPr="008B269E" w:rsidRDefault="008B269E" w:rsidP="008B2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8B269E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Série IEC 60034</w:t>
            </w:r>
          </w:p>
        </w:tc>
        <w:tc>
          <w:tcPr>
            <w:tcW w:w="5689" w:type="dxa"/>
            <w:tcBorders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B269E" w:rsidRPr="008B269E" w:rsidRDefault="008B269E" w:rsidP="008B2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8B269E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Machines électriques rotatives</w:t>
            </w:r>
          </w:p>
        </w:tc>
      </w:tr>
      <w:tr w:rsidR="008B269E" w:rsidRPr="008B269E" w:rsidTr="008B269E">
        <w:trPr>
          <w:trHeight w:val="280"/>
          <w:tblCellSpacing w:w="15" w:type="dxa"/>
        </w:trPr>
        <w:tc>
          <w:tcPr>
            <w:tcW w:w="20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B269E" w:rsidRPr="008B269E" w:rsidRDefault="008B269E" w:rsidP="008B2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8B269E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lastRenderedPageBreak/>
              <w:t>Série IEC 61800</w:t>
            </w:r>
          </w:p>
        </w:tc>
        <w:tc>
          <w:tcPr>
            <w:tcW w:w="5689" w:type="dxa"/>
            <w:tcBorders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B269E" w:rsidRPr="008B269E" w:rsidRDefault="008B269E" w:rsidP="008B2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8B269E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Entraînements électriques de puissance à vitesse variable</w:t>
            </w:r>
          </w:p>
        </w:tc>
      </w:tr>
      <w:tr w:rsidR="008B269E" w:rsidRPr="008B269E" w:rsidTr="008B269E">
        <w:trPr>
          <w:trHeight w:val="480"/>
          <w:tblCellSpacing w:w="15" w:type="dxa"/>
        </w:trPr>
        <w:tc>
          <w:tcPr>
            <w:tcW w:w="20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B269E" w:rsidRPr="008B269E" w:rsidRDefault="008B269E" w:rsidP="008B2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8B269E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Série IEC 61158</w:t>
            </w:r>
          </w:p>
        </w:tc>
        <w:tc>
          <w:tcPr>
            <w:tcW w:w="5689" w:type="dxa"/>
            <w:tcBorders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B269E" w:rsidRPr="008B269E" w:rsidRDefault="008B269E" w:rsidP="008B269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</w:pPr>
            <w:r w:rsidRPr="008B269E">
              <w:rPr>
                <w:rFonts w:ascii="Arial" w:eastAsia="Times New Roman" w:hAnsi="Arial" w:cs="Arial"/>
                <w:color w:val="000000"/>
                <w:sz w:val="16"/>
                <w:szCs w:val="16"/>
                <w:lang w:eastAsia="fr-FR"/>
              </w:rPr>
              <w:t>Communications numériques pour les systèmes de mesure et de commande – Bus de terrain utilisés dans les systèmes de commande industriels</w:t>
            </w:r>
          </w:p>
        </w:tc>
      </w:tr>
    </w:tbl>
    <w:p w:rsidR="008B269E" w:rsidRPr="008B269E" w:rsidRDefault="008B269E" w:rsidP="008B269E">
      <w:pPr>
        <w:spacing w:after="80" w:line="240" w:lineRule="auto"/>
        <w:rPr>
          <w:rFonts w:ascii="Arial" w:eastAsia="Times New Roman" w:hAnsi="Arial" w:cs="Arial"/>
          <w:color w:val="000000"/>
          <w:sz w:val="18"/>
          <w:szCs w:val="18"/>
          <w:lang w:eastAsia="fr-FR"/>
        </w:rPr>
      </w:pPr>
      <w:r w:rsidRPr="008B269E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Enfin, le terme </w:t>
      </w:r>
      <w:r w:rsidRPr="008B269E">
        <w:rPr>
          <w:rFonts w:ascii="Arial" w:eastAsia="Times New Roman" w:hAnsi="Arial" w:cs="Arial"/>
          <w:i/>
          <w:iCs/>
          <w:color w:val="000000"/>
          <w:sz w:val="18"/>
          <w:szCs w:val="18"/>
          <w:lang w:eastAsia="fr-FR"/>
        </w:rPr>
        <w:t>zone de fonctionnement</w:t>
      </w:r>
      <w:r w:rsidRPr="008B269E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utilisé dans le contexte de la description de dangers spécifiques a la même signification que les termes </w:t>
      </w:r>
      <w:r w:rsidRPr="008B269E">
        <w:rPr>
          <w:rFonts w:ascii="Arial" w:eastAsia="Times New Roman" w:hAnsi="Arial" w:cs="Arial"/>
          <w:i/>
          <w:iCs/>
          <w:color w:val="000000"/>
          <w:sz w:val="18"/>
          <w:szCs w:val="18"/>
          <w:lang w:eastAsia="fr-FR"/>
        </w:rPr>
        <w:t>zone dangereuse</w:t>
      </w:r>
      <w:r w:rsidRPr="008B269E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ou </w:t>
      </w:r>
      <w:r w:rsidRPr="008B269E">
        <w:rPr>
          <w:rFonts w:ascii="Arial" w:eastAsia="Times New Roman" w:hAnsi="Arial" w:cs="Arial"/>
          <w:i/>
          <w:iCs/>
          <w:color w:val="000000"/>
          <w:sz w:val="18"/>
          <w:szCs w:val="18"/>
          <w:lang w:eastAsia="fr-FR"/>
        </w:rPr>
        <w:t>zone de danger</w:t>
      </w:r>
      <w:r w:rsidRPr="008B269E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employés dans la </w:t>
      </w:r>
      <w:r w:rsidRPr="008B269E">
        <w:rPr>
          <w:rFonts w:ascii="Arial" w:eastAsia="Times New Roman" w:hAnsi="Arial" w:cs="Arial"/>
          <w:i/>
          <w:iCs/>
          <w:color w:val="000000"/>
          <w:sz w:val="18"/>
          <w:szCs w:val="18"/>
          <w:lang w:eastAsia="fr-FR"/>
        </w:rPr>
        <w:t>directive Machines</w:t>
      </w:r>
      <w:r w:rsidRPr="008B269E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 (</w:t>
      </w:r>
      <w:r w:rsidRPr="008B269E">
        <w:rPr>
          <w:rFonts w:ascii="Arial" w:eastAsia="Times New Roman" w:hAnsi="Arial" w:cs="Arial"/>
          <w:i/>
          <w:iCs/>
          <w:color w:val="000000"/>
          <w:sz w:val="18"/>
          <w:szCs w:val="18"/>
          <w:lang w:eastAsia="fr-FR"/>
        </w:rPr>
        <w:t>2006/42/EC</w:t>
      </w:r>
      <w:r w:rsidRPr="008B269E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) et la norme </w:t>
      </w:r>
      <w:r w:rsidRPr="008B269E">
        <w:rPr>
          <w:rFonts w:ascii="Arial" w:eastAsia="Times New Roman" w:hAnsi="Arial" w:cs="Arial"/>
          <w:i/>
          <w:iCs/>
          <w:color w:val="000000"/>
          <w:sz w:val="18"/>
          <w:szCs w:val="18"/>
          <w:lang w:eastAsia="fr-FR"/>
        </w:rPr>
        <w:t>ISO 12100:2010</w:t>
      </w:r>
      <w:r w:rsidRPr="008B269E">
        <w:rPr>
          <w:rFonts w:ascii="Arial" w:eastAsia="Times New Roman" w:hAnsi="Arial" w:cs="Arial"/>
          <w:color w:val="000000"/>
          <w:sz w:val="18"/>
          <w:szCs w:val="18"/>
          <w:lang w:eastAsia="fr-FR"/>
        </w:rPr>
        <w:t>.</w:t>
      </w:r>
    </w:p>
    <w:p w:rsidR="00CC3E08" w:rsidRDefault="00CC3E08"/>
    <w:sectPr w:rsidR="00CC3E08" w:rsidSect="00087B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8B269E"/>
    <w:rsid w:val="00087B69"/>
    <w:rsid w:val="003F012C"/>
    <w:rsid w:val="006419A0"/>
    <w:rsid w:val="008017E9"/>
    <w:rsid w:val="008B269E"/>
    <w:rsid w:val="00B173C1"/>
    <w:rsid w:val="00C07557"/>
    <w:rsid w:val="00CC3E08"/>
    <w:rsid w:val="00F62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B6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fmblocktitle">
    <w:name w:val="fm__blocktitle"/>
    <w:basedOn w:val="Normal"/>
    <w:rsid w:val="008B2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fmp">
    <w:name w:val="fm__p"/>
    <w:basedOn w:val="Normal"/>
    <w:rsid w:val="008B2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fmtablestem">
    <w:name w:val="fm__tablestem"/>
    <w:basedOn w:val="Normal"/>
    <w:rsid w:val="008B2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fmtablehead">
    <w:name w:val="fm__tablehead"/>
    <w:basedOn w:val="Normal"/>
    <w:rsid w:val="008B2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fmptable">
    <w:name w:val="fm__ptable"/>
    <w:basedOn w:val="Normal"/>
    <w:rsid w:val="008B2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8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RMI</dc:creator>
  <cp:lastModifiedBy>RMI</cp:lastModifiedBy>
  <cp:revision>2</cp:revision>
  <dcterms:created xsi:type="dcterms:W3CDTF">2024-11-24T23:34:00Z</dcterms:created>
  <dcterms:modified xsi:type="dcterms:W3CDTF">2024-11-24T23:34:00Z</dcterms:modified>
</cp:coreProperties>
</file>