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1C" w:rsidRPr="00AD633D" w:rsidRDefault="00AD633D" w:rsidP="00AD633D">
      <w:pPr>
        <w:bidi/>
        <w:ind w:left="0"/>
        <w:jc w:val="center"/>
        <w:rPr>
          <w:b/>
          <w:bCs/>
          <w:sz w:val="32"/>
          <w:szCs w:val="32"/>
        </w:rPr>
      </w:pPr>
      <w:r w:rsidRPr="00AD633D">
        <w:rPr>
          <w:rFonts w:hint="cs"/>
          <w:b/>
          <w:bCs/>
          <w:sz w:val="32"/>
          <w:szCs w:val="32"/>
          <w:rtl/>
        </w:rPr>
        <w:t xml:space="preserve">المحور </w:t>
      </w:r>
      <w:proofErr w:type="gramStart"/>
      <w:r w:rsidRPr="00AD633D">
        <w:rPr>
          <w:rFonts w:hint="cs"/>
          <w:b/>
          <w:bCs/>
          <w:sz w:val="32"/>
          <w:szCs w:val="32"/>
          <w:rtl/>
        </w:rPr>
        <w:t>الخامس :</w:t>
      </w:r>
      <w:proofErr w:type="gramEnd"/>
      <w:r w:rsidRPr="00AD633D">
        <w:rPr>
          <w:rFonts w:hint="cs"/>
          <w:b/>
          <w:bCs/>
          <w:sz w:val="32"/>
          <w:szCs w:val="32"/>
          <w:rtl/>
        </w:rPr>
        <w:t xml:space="preserve"> تقييم أداء البنوك التجارية</w:t>
      </w:r>
    </w:p>
    <w:p w:rsidR="0089161C" w:rsidRPr="0089161C" w:rsidRDefault="0089161C" w:rsidP="0089161C">
      <w:pPr>
        <w:bidi/>
        <w:rPr>
          <w:b/>
          <w:bCs/>
        </w:rPr>
      </w:pPr>
      <w:proofErr w:type="gramStart"/>
      <w:r w:rsidRPr="0089161C">
        <w:rPr>
          <w:b/>
          <w:bCs/>
          <w:rtl/>
        </w:rPr>
        <w:t>مقدمة</w:t>
      </w:r>
      <w:proofErr w:type="gramEnd"/>
    </w:p>
    <w:p w:rsidR="0089161C" w:rsidRPr="0089161C" w:rsidRDefault="0089161C" w:rsidP="0089161C">
      <w:pPr>
        <w:bidi/>
      </w:pPr>
      <w:r w:rsidRPr="0089161C">
        <w:rPr>
          <w:rtl/>
        </w:rPr>
        <w:t xml:space="preserve">تعتبر البنوك التجارية ركيزة أساسية للاقتصاد الحديث، فهي تلعب دوراً حيوياً في تسهيل المعاملات المالية، وتوفير التمويل للاقتصاد، وإدارة المخاطر. </w:t>
      </w:r>
      <w:proofErr w:type="gramStart"/>
      <w:r w:rsidRPr="0089161C">
        <w:rPr>
          <w:rtl/>
        </w:rPr>
        <w:t>لذا</w:t>
      </w:r>
      <w:proofErr w:type="gramEnd"/>
      <w:r w:rsidRPr="0089161C">
        <w:rPr>
          <w:rtl/>
        </w:rPr>
        <w:t>، فإن تقييم أداء البنوك التجارية يمثل عملية بالغة الأهمية لصانعي القرار، المستثمرين، والمتعاملين مع البنوك</w:t>
      </w:r>
      <w:r w:rsidRPr="0089161C">
        <w:t>.</w:t>
      </w:r>
    </w:p>
    <w:p w:rsidR="0089161C" w:rsidRPr="00AD633D" w:rsidRDefault="0089161C" w:rsidP="00AD633D">
      <w:pPr>
        <w:pStyle w:val="Paragraphedeliste"/>
        <w:numPr>
          <w:ilvl w:val="0"/>
          <w:numId w:val="5"/>
        </w:numPr>
        <w:bidi/>
        <w:rPr>
          <w:b/>
          <w:bCs/>
        </w:rPr>
      </w:pPr>
      <w:proofErr w:type="gramStart"/>
      <w:r w:rsidRPr="00AD633D">
        <w:rPr>
          <w:b/>
          <w:bCs/>
          <w:rtl/>
        </w:rPr>
        <w:t>أهمية</w:t>
      </w:r>
      <w:proofErr w:type="gramEnd"/>
      <w:r w:rsidRPr="00AD633D">
        <w:rPr>
          <w:b/>
          <w:bCs/>
          <w:rtl/>
        </w:rPr>
        <w:t xml:space="preserve"> تقييم عمل البنوك التجارية</w:t>
      </w:r>
    </w:p>
    <w:p w:rsidR="0089161C" w:rsidRPr="0089161C" w:rsidRDefault="0089161C" w:rsidP="0089161C">
      <w:pPr>
        <w:numPr>
          <w:ilvl w:val="0"/>
          <w:numId w:val="1"/>
        </w:numPr>
        <w:bidi/>
      </w:pPr>
      <w:proofErr w:type="gramStart"/>
      <w:r w:rsidRPr="0089161C">
        <w:rPr>
          <w:b/>
          <w:bCs/>
          <w:rtl/>
        </w:rPr>
        <w:t>حماية</w:t>
      </w:r>
      <w:proofErr w:type="gramEnd"/>
      <w:r w:rsidRPr="0089161C">
        <w:rPr>
          <w:b/>
          <w:bCs/>
          <w:rtl/>
        </w:rPr>
        <w:t xml:space="preserve"> المودعين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يساعد تقييم الأداء في الكشف عن البنوك التي تعاني من مشاكل مالية، مما يحمي حقوق المودعين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1"/>
        </w:numPr>
        <w:bidi/>
      </w:pPr>
      <w:r w:rsidRPr="0089161C">
        <w:rPr>
          <w:b/>
          <w:bCs/>
          <w:rtl/>
        </w:rPr>
        <w:t>الدور الرقابي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يوفر التقييم أدوات للبنوك المركزية والهيئات الرقابية لتقييم صحة النظام المصرفي واتخاذ الإجراءات التصحيحية اللازمة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1"/>
        </w:numPr>
        <w:bidi/>
      </w:pPr>
      <w:proofErr w:type="gramStart"/>
      <w:r w:rsidRPr="0089161C">
        <w:rPr>
          <w:b/>
          <w:bCs/>
          <w:rtl/>
        </w:rPr>
        <w:t>تقييم</w:t>
      </w:r>
      <w:proofErr w:type="gramEnd"/>
      <w:r w:rsidRPr="0089161C">
        <w:rPr>
          <w:b/>
          <w:bCs/>
          <w:rtl/>
        </w:rPr>
        <w:t xml:space="preserve"> الاستثمارات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يساعد المستثمرين في تقييم جاذبية الاستثمار في أسهم البنوك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1"/>
        </w:numPr>
        <w:bidi/>
      </w:pPr>
      <w:proofErr w:type="gramStart"/>
      <w:r w:rsidRPr="0089161C">
        <w:rPr>
          <w:b/>
          <w:bCs/>
          <w:rtl/>
        </w:rPr>
        <w:t>تحسين</w:t>
      </w:r>
      <w:proofErr w:type="gramEnd"/>
      <w:r w:rsidRPr="0089161C">
        <w:rPr>
          <w:b/>
          <w:bCs/>
          <w:rtl/>
        </w:rPr>
        <w:t xml:space="preserve"> الأداء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يوفر التقييم للبنوك معلومات حول نقاط قوتها وضعفها، مما يساعدها على تحسين أدائها</w:t>
      </w:r>
      <w:r w:rsidRPr="0089161C">
        <w:t>.</w:t>
      </w:r>
    </w:p>
    <w:p w:rsidR="0089161C" w:rsidRPr="00EA5620" w:rsidRDefault="0089161C" w:rsidP="00EA5620">
      <w:pPr>
        <w:pStyle w:val="Paragraphedeliste"/>
        <w:numPr>
          <w:ilvl w:val="0"/>
          <w:numId w:val="5"/>
        </w:numPr>
        <w:bidi/>
        <w:rPr>
          <w:b/>
          <w:bCs/>
        </w:rPr>
      </w:pPr>
      <w:proofErr w:type="gramStart"/>
      <w:r w:rsidRPr="00EA5620">
        <w:rPr>
          <w:b/>
          <w:bCs/>
          <w:rtl/>
        </w:rPr>
        <w:t>مؤشرات</w:t>
      </w:r>
      <w:proofErr w:type="gramEnd"/>
      <w:r w:rsidRPr="00EA5620">
        <w:rPr>
          <w:b/>
          <w:bCs/>
          <w:rtl/>
        </w:rPr>
        <w:t xml:space="preserve"> تقييم أداء البنوك التجارية</w:t>
      </w:r>
    </w:p>
    <w:p w:rsidR="0089161C" w:rsidRPr="0089161C" w:rsidRDefault="0089161C" w:rsidP="0089161C">
      <w:pPr>
        <w:bidi/>
      </w:pPr>
      <w:r w:rsidRPr="0089161C">
        <w:rPr>
          <w:rtl/>
        </w:rPr>
        <w:t xml:space="preserve">توجد العديد من المؤشرات التي تستخدم لتقييم </w:t>
      </w:r>
      <w:proofErr w:type="gramStart"/>
      <w:r w:rsidRPr="0089161C">
        <w:rPr>
          <w:rtl/>
        </w:rPr>
        <w:t>أداء</w:t>
      </w:r>
      <w:proofErr w:type="gramEnd"/>
      <w:r w:rsidRPr="0089161C">
        <w:rPr>
          <w:rtl/>
        </w:rPr>
        <w:t xml:space="preserve"> البنوك التجارية، من أهمها</w:t>
      </w:r>
      <w:r w:rsidRPr="0089161C">
        <w:t>:</w:t>
      </w:r>
    </w:p>
    <w:p w:rsidR="0089161C" w:rsidRPr="0089161C" w:rsidRDefault="0089161C" w:rsidP="0089161C">
      <w:pPr>
        <w:numPr>
          <w:ilvl w:val="0"/>
          <w:numId w:val="2"/>
        </w:numPr>
        <w:bidi/>
      </w:pPr>
      <w:r w:rsidRPr="0089161C">
        <w:rPr>
          <w:b/>
          <w:bCs/>
          <w:rtl/>
        </w:rPr>
        <w:t>مؤشرات الملاءة المالية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 xml:space="preserve">مثل نسبة كفاية رأس المال، </w:t>
      </w:r>
      <w:proofErr w:type="gramStart"/>
      <w:r w:rsidRPr="0089161C">
        <w:rPr>
          <w:rtl/>
        </w:rPr>
        <w:t>ونسبة</w:t>
      </w:r>
      <w:proofErr w:type="gramEnd"/>
      <w:r w:rsidRPr="0089161C">
        <w:rPr>
          <w:rtl/>
        </w:rPr>
        <w:t xml:space="preserve"> السيولة، ونسبة تغطية القروض المتعثرة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2"/>
        </w:numPr>
        <w:bidi/>
      </w:pPr>
      <w:proofErr w:type="gramStart"/>
      <w:r w:rsidRPr="0089161C">
        <w:rPr>
          <w:b/>
          <w:bCs/>
          <w:rtl/>
        </w:rPr>
        <w:t>مؤشرات</w:t>
      </w:r>
      <w:proofErr w:type="gramEnd"/>
      <w:r w:rsidRPr="0089161C">
        <w:rPr>
          <w:b/>
          <w:bCs/>
          <w:rtl/>
        </w:rPr>
        <w:t xml:space="preserve"> الربحية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مثل معدل العائد على الأصول، ومعدل العائد على حقوق المساهمين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2"/>
        </w:numPr>
        <w:bidi/>
      </w:pPr>
      <w:r w:rsidRPr="0089161C">
        <w:rPr>
          <w:b/>
          <w:bCs/>
          <w:rtl/>
        </w:rPr>
        <w:t>مؤشرات كفاءة التشغيل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مثل نسبة المصروفات إلى الإيرادات، ونسبة التكاليف إلى الأصول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2"/>
        </w:numPr>
        <w:bidi/>
      </w:pPr>
      <w:proofErr w:type="gramStart"/>
      <w:r w:rsidRPr="0089161C">
        <w:rPr>
          <w:b/>
          <w:bCs/>
          <w:rtl/>
        </w:rPr>
        <w:t>مؤشرات</w:t>
      </w:r>
      <w:proofErr w:type="gramEnd"/>
      <w:r w:rsidRPr="0089161C">
        <w:rPr>
          <w:b/>
          <w:bCs/>
          <w:rtl/>
        </w:rPr>
        <w:t xml:space="preserve"> نمو الأصول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مثل معدل نمو القروض، ومعدل نمو الودائع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2"/>
        </w:numPr>
        <w:bidi/>
      </w:pPr>
      <w:r w:rsidRPr="0089161C">
        <w:rPr>
          <w:b/>
          <w:bCs/>
          <w:rtl/>
        </w:rPr>
        <w:t>مؤشرات جودة الأصول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مثل نسبة القروض المتعثرة إلى إجمالي القروض</w:t>
      </w:r>
      <w:r w:rsidRPr="0089161C">
        <w:t>.</w:t>
      </w:r>
    </w:p>
    <w:p w:rsidR="0089161C" w:rsidRPr="00EA5620" w:rsidRDefault="0089161C" w:rsidP="00EA5620">
      <w:pPr>
        <w:pStyle w:val="Paragraphedeliste"/>
        <w:numPr>
          <w:ilvl w:val="0"/>
          <w:numId w:val="5"/>
        </w:numPr>
        <w:bidi/>
        <w:rPr>
          <w:b/>
          <w:bCs/>
        </w:rPr>
      </w:pPr>
      <w:r w:rsidRPr="00EA5620">
        <w:rPr>
          <w:b/>
          <w:bCs/>
          <w:rtl/>
        </w:rPr>
        <w:t>نماذج لتقييم أداء البنوك التجارية</w:t>
      </w:r>
    </w:p>
    <w:p w:rsidR="0089161C" w:rsidRPr="0089161C" w:rsidRDefault="0089161C" w:rsidP="0089161C">
      <w:pPr>
        <w:numPr>
          <w:ilvl w:val="0"/>
          <w:numId w:val="3"/>
        </w:numPr>
        <w:bidi/>
      </w:pPr>
      <w:proofErr w:type="gramStart"/>
      <w:r w:rsidRPr="0089161C">
        <w:rPr>
          <w:b/>
          <w:bCs/>
          <w:rtl/>
        </w:rPr>
        <w:t>نموذج</w:t>
      </w:r>
      <w:proofErr w:type="gramEnd"/>
      <w:r w:rsidRPr="0089161C">
        <w:rPr>
          <w:b/>
          <w:bCs/>
        </w:rPr>
        <w:t xml:space="preserve"> CAMELS:</w:t>
      </w:r>
      <w:r w:rsidRPr="0089161C">
        <w:t xml:space="preserve"> </w:t>
      </w:r>
      <w:r w:rsidRPr="0089161C">
        <w:rPr>
          <w:rtl/>
        </w:rPr>
        <w:t>وهو أحد أشهر النماذج المستخدمة في تقييم البنوك، ويعتمد على تقييم ستة عوامل رئيسية هي: رأس المال</w:t>
      </w:r>
      <w:r w:rsidRPr="0089161C">
        <w:t xml:space="preserve"> (Capital)</w:t>
      </w:r>
      <w:r w:rsidRPr="0089161C">
        <w:rPr>
          <w:rtl/>
        </w:rPr>
        <w:t>، والأصول</w:t>
      </w:r>
      <w:r w:rsidRPr="0089161C">
        <w:t xml:space="preserve"> (</w:t>
      </w:r>
      <w:proofErr w:type="spellStart"/>
      <w:r w:rsidRPr="0089161C">
        <w:t>Assets</w:t>
      </w:r>
      <w:proofErr w:type="spellEnd"/>
      <w:r w:rsidRPr="0089161C">
        <w:t>)</w:t>
      </w:r>
      <w:r w:rsidRPr="0089161C">
        <w:rPr>
          <w:rtl/>
        </w:rPr>
        <w:t>، والإدارة</w:t>
      </w:r>
      <w:r w:rsidRPr="0089161C">
        <w:t xml:space="preserve"> (Management)</w:t>
      </w:r>
      <w:r w:rsidRPr="0089161C">
        <w:rPr>
          <w:rtl/>
        </w:rPr>
        <w:t>، والأرباح</w:t>
      </w:r>
      <w:r w:rsidRPr="0089161C">
        <w:t xml:space="preserve"> (</w:t>
      </w:r>
      <w:proofErr w:type="spellStart"/>
      <w:r w:rsidRPr="0089161C">
        <w:t>Earnings</w:t>
      </w:r>
      <w:proofErr w:type="spellEnd"/>
      <w:r w:rsidRPr="0089161C">
        <w:t>)</w:t>
      </w:r>
      <w:r w:rsidRPr="0089161C">
        <w:rPr>
          <w:rtl/>
        </w:rPr>
        <w:t>، والسيولة</w:t>
      </w:r>
      <w:r w:rsidRPr="0089161C">
        <w:t xml:space="preserve"> (</w:t>
      </w:r>
      <w:proofErr w:type="spellStart"/>
      <w:r w:rsidRPr="0089161C">
        <w:t>Liquidity</w:t>
      </w:r>
      <w:proofErr w:type="spellEnd"/>
      <w:r w:rsidRPr="0089161C">
        <w:t>)</w:t>
      </w:r>
      <w:r w:rsidRPr="0089161C">
        <w:rPr>
          <w:rtl/>
        </w:rPr>
        <w:t>، والحساسية للمخاطر</w:t>
      </w:r>
      <w:r w:rsidRPr="0089161C">
        <w:t xml:space="preserve"> (</w:t>
      </w:r>
      <w:proofErr w:type="spellStart"/>
      <w:r w:rsidRPr="0089161C">
        <w:t>Sensitivity</w:t>
      </w:r>
      <w:proofErr w:type="spellEnd"/>
      <w:r w:rsidRPr="0089161C">
        <w:t>).</w:t>
      </w:r>
    </w:p>
    <w:p w:rsidR="0089161C" w:rsidRPr="0089161C" w:rsidRDefault="0089161C" w:rsidP="0089161C">
      <w:pPr>
        <w:numPr>
          <w:ilvl w:val="0"/>
          <w:numId w:val="3"/>
        </w:numPr>
        <w:bidi/>
      </w:pPr>
      <w:proofErr w:type="gramStart"/>
      <w:r w:rsidRPr="0089161C">
        <w:rPr>
          <w:b/>
          <w:bCs/>
          <w:rtl/>
        </w:rPr>
        <w:lastRenderedPageBreak/>
        <w:t>نموذج</w:t>
      </w:r>
      <w:proofErr w:type="gramEnd"/>
      <w:r w:rsidRPr="0089161C">
        <w:rPr>
          <w:b/>
          <w:bCs/>
        </w:rPr>
        <w:t xml:space="preserve"> Z-score:</w:t>
      </w:r>
      <w:r w:rsidRPr="0089161C">
        <w:t xml:space="preserve"> </w:t>
      </w:r>
      <w:r w:rsidRPr="0089161C">
        <w:rPr>
          <w:rtl/>
        </w:rPr>
        <w:t>وهو نموذج إحصائي يستخدم لتقييم احتمال إفلاس البنوك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3"/>
        </w:numPr>
        <w:bidi/>
      </w:pPr>
      <w:proofErr w:type="gramStart"/>
      <w:r w:rsidRPr="0089161C">
        <w:rPr>
          <w:b/>
          <w:bCs/>
          <w:rtl/>
        </w:rPr>
        <w:t>تحليل</w:t>
      </w:r>
      <w:proofErr w:type="gramEnd"/>
      <w:r w:rsidRPr="0089161C">
        <w:rPr>
          <w:b/>
          <w:bCs/>
        </w:rPr>
        <w:t xml:space="preserve"> SWOT:</w:t>
      </w:r>
      <w:r w:rsidRPr="0089161C">
        <w:t xml:space="preserve"> </w:t>
      </w:r>
      <w:r w:rsidRPr="0089161C">
        <w:rPr>
          <w:rtl/>
        </w:rPr>
        <w:t>وهو نموذج يستخدم لتحليل نقاط القوة والضعف والفرص والتهديدات التي تواجه البنك</w:t>
      </w:r>
      <w:r w:rsidRPr="0089161C">
        <w:t>.</w:t>
      </w:r>
    </w:p>
    <w:p w:rsidR="0089161C" w:rsidRPr="00FB3818" w:rsidRDefault="0089161C" w:rsidP="00FB3818">
      <w:pPr>
        <w:pStyle w:val="Paragraphedeliste"/>
        <w:numPr>
          <w:ilvl w:val="0"/>
          <w:numId w:val="5"/>
        </w:numPr>
        <w:bidi/>
        <w:rPr>
          <w:b/>
          <w:bCs/>
        </w:rPr>
      </w:pPr>
      <w:r w:rsidRPr="00FB3818">
        <w:rPr>
          <w:b/>
          <w:bCs/>
          <w:rtl/>
        </w:rPr>
        <w:t>تحديات تواجه تقييم أداء البنوك التجارية</w:t>
      </w:r>
    </w:p>
    <w:p w:rsidR="0089161C" w:rsidRPr="0089161C" w:rsidRDefault="0089161C" w:rsidP="0089161C">
      <w:pPr>
        <w:numPr>
          <w:ilvl w:val="0"/>
          <w:numId w:val="4"/>
        </w:numPr>
        <w:tabs>
          <w:tab w:val="clear" w:pos="720"/>
          <w:tab w:val="num" w:pos="368"/>
        </w:tabs>
        <w:bidi/>
        <w:ind w:right="0"/>
      </w:pPr>
      <w:proofErr w:type="gramStart"/>
      <w:r w:rsidRPr="0089161C">
        <w:rPr>
          <w:b/>
          <w:bCs/>
          <w:rtl/>
        </w:rPr>
        <w:t>تعقيد</w:t>
      </w:r>
      <w:proofErr w:type="gramEnd"/>
      <w:r w:rsidRPr="0089161C">
        <w:rPr>
          <w:b/>
          <w:bCs/>
          <w:rtl/>
        </w:rPr>
        <w:t xml:space="preserve"> البيئة المصرفية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تتسم البيئة المصرفية بالتعقيد والتغير المستمر، مما يجعل عملية التقييم أكثر صعوبة</w:t>
      </w:r>
      <w:r w:rsidRPr="0089161C">
        <w:t>.</w:t>
      </w:r>
    </w:p>
    <w:p w:rsidR="0089161C" w:rsidRPr="0089161C" w:rsidRDefault="0089161C" w:rsidP="00FB3818">
      <w:pPr>
        <w:numPr>
          <w:ilvl w:val="0"/>
          <w:numId w:val="4"/>
        </w:numPr>
        <w:bidi/>
        <w:ind w:right="142"/>
      </w:pPr>
      <w:r w:rsidRPr="0089161C">
        <w:rPr>
          <w:b/>
          <w:bCs/>
          <w:rtl/>
        </w:rPr>
        <w:t>الاختلاف في المعايير المحاسبية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>تختلف المعايير ال</w:t>
      </w:r>
      <w:r w:rsidR="00FB3818">
        <w:rPr>
          <w:rtl/>
        </w:rPr>
        <w:t>محاسبية بين الدول، مما يؤثر على</w:t>
      </w:r>
      <w:r w:rsidR="00FB3818">
        <w:rPr>
          <w:rFonts w:hint="cs"/>
          <w:rtl/>
        </w:rPr>
        <w:t xml:space="preserve"> </w:t>
      </w:r>
      <w:r w:rsidRPr="0089161C">
        <w:rPr>
          <w:rtl/>
        </w:rPr>
        <w:t>مقارنة أداء البنوك</w:t>
      </w:r>
      <w:r w:rsidRPr="0089161C">
        <w:t>.</w:t>
      </w:r>
    </w:p>
    <w:p w:rsidR="0089161C" w:rsidRPr="0089161C" w:rsidRDefault="0089161C" w:rsidP="0089161C">
      <w:pPr>
        <w:numPr>
          <w:ilvl w:val="0"/>
          <w:numId w:val="4"/>
        </w:numPr>
        <w:bidi/>
      </w:pPr>
      <w:r w:rsidRPr="0089161C">
        <w:rPr>
          <w:b/>
          <w:bCs/>
          <w:rtl/>
        </w:rPr>
        <w:t>صعوبة قياس بعض العوامل النوعية</w:t>
      </w:r>
      <w:r w:rsidRPr="0089161C">
        <w:rPr>
          <w:b/>
          <w:bCs/>
        </w:rPr>
        <w:t>:</w:t>
      </w:r>
      <w:r w:rsidRPr="0089161C">
        <w:t xml:space="preserve"> </w:t>
      </w:r>
      <w:r w:rsidRPr="0089161C">
        <w:rPr>
          <w:rtl/>
        </w:rPr>
        <w:t xml:space="preserve">مثل جودة الإدارة، </w:t>
      </w:r>
      <w:proofErr w:type="spellStart"/>
      <w:r w:rsidRPr="0089161C">
        <w:rPr>
          <w:rtl/>
        </w:rPr>
        <w:t>وحوكمة</w:t>
      </w:r>
      <w:proofErr w:type="spellEnd"/>
      <w:r w:rsidRPr="0089161C">
        <w:rPr>
          <w:rtl/>
        </w:rPr>
        <w:t xml:space="preserve"> الشركات</w:t>
      </w:r>
      <w:r w:rsidRPr="0089161C">
        <w:t>.</w:t>
      </w:r>
    </w:p>
    <w:p w:rsidR="00077FEA" w:rsidRDefault="00077FEA" w:rsidP="0089161C">
      <w:pPr>
        <w:bidi/>
      </w:pPr>
    </w:p>
    <w:sectPr w:rsidR="00077FEA" w:rsidSect="0089161C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039F"/>
    <w:multiLevelType w:val="multilevel"/>
    <w:tmpl w:val="E93EA1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9355A"/>
    <w:multiLevelType w:val="multilevel"/>
    <w:tmpl w:val="E2C077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270B8"/>
    <w:multiLevelType w:val="multilevel"/>
    <w:tmpl w:val="42C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D0190E"/>
    <w:multiLevelType w:val="multilevel"/>
    <w:tmpl w:val="A0E05F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93D35"/>
    <w:multiLevelType w:val="hybridMultilevel"/>
    <w:tmpl w:val="456ED852"/>
    <w:lvl w:ilvl="0" w:tplc="484AB58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89161C"/>
    <w:rsid w:val="00077FEA"/>
    <w:rsid w:val="00393304"/>
    <w:rsid w:val="004D516C"/>
    <w:rsid w:val="004F41C0"/>
    <w:rsid w:val="005D0A99"/>
    <w:rsid w:val="006675AD"/>
    <w:rsid w:val="006C59D2"/>
    <w:rsid w:val="007E4777"/>
    <w:rsid w:val="00820616"/>
    <w:rsid w:val="00877C6A"/>
    <w:rsid w:val="0089161C"/>
    <w:rsid w:val="00A85D8C"/>
    <w:rsid w:val="00AD633D"/>
    <w:rsid w:val="00C26609"/>
    <w:rsid w:val="00EA5620"/>
    <w:rsid w:val="00FB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28"/>
        <w:szCs w:val="28"/>
        <w:lang w:val="fr-FR" w:eastAsia="en-US" w:bidi="ar-SA"/>
      </w:rPr>
    </w:rPrDefault>
    <w:pPrDefault>
      <w:pPr>
        <w:ind w:left="1418" w:righ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E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6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3BB5-D7E4-4FC9-A226-DDA1F2AD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2024-12-20T22:30:00Z</dcterms:created>
  <dcterms:modified xsi:type="dcterms:W3CDTF">2024-12-20T22:38:00Z</dcterms:modified>
</cp:coreProperties>
</file>