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51" w:rsidRPr="00425424" w:rsidRDefault="00661C51" w:rsidP="00661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425424">
        <w:rPr>
          <w:b/>
          <w:sz w:val="24"/>
          <w:szCs w:val="24"/>
        </w:rPr>
        <w:t>niversit</w:t>
      </w:r>
      <w:r>
        <w:rPr>
          <w:b/>
          <w:sz w:val="24"/>
          <w:szCs w:val="24"/>
        </w:rPr>
        <w:t>é</w:t>
      </w:r>
      <w:r w:rsidRPr="00425424">
        <w:rPr>
          <w:b/>
          <w:sz w:val="24"/>
          <w:szCs w:val="24"/>
        </w:rPr>
        <w:t xml:space="preserve"> de Khemis miliana           </w:t>
      </w:r>
      <w:r>
        <w:rPr>
          <w:b/>
          <w:sz w:val="24"/>
          <w:szCs w:val="24"/>
        </w:rPr>
        <w:t xml:space="preserve">                </w:t>
      </w:r>
      <w:r w:rsidRPr="0042542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                              LMD S.M</w:t>
      </w:r>
    </w:p>
    <w:p w:rsidR="00661C51" w:rsidRPr="00425424" w:rsidRDefault="00661C51" w:rsidP="00661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Faculté</w:t>
      </w:r>
      <w:r w:rsidRPr="00425424">
        <w:rPr>
          <w:b/>
          <w:sz w:val="24"/>
          <w:szCs w:val="24"/>
        </w:rPr>
        <w:t xml:space="preserve"> des Sciences et de la technologie     </w:t>
      </w:r>
      <w:r>
        <w:rPr>
          <w:b/>
          <w:sz w:val="24"/>
          <w:szCs w:val="24"/>
        </w:rPr>
        <w:t xml:space="preserve">                    </w:t>
      </w:r>
      <w:r w:rsidRPr="0042542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Pr="0042542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42542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Information quantique</w:t>
      </w:r>
    </w:p>
    <w:p w:rsidR="00661C51" w:rsidRPr="00425424" w:rsidRDefault="00661C51" w:rsidP="001C2D64">
      <w:pPr>
        <w:rPr>
          <w:b/>
          <w:sz w:val="24"/>
          <w:szCs w:val="24"/>
          <w:u w:val="single"/>
        </w:rPr>
      </w:pPr>
      <w:r w:rsidRPr="00425424">
        <w:rPr>
          <w:b/>
          <w:sz w:val="24"/>
          <w:szCs w:val="24"/>
          <w:u w:val="single"/>
        </w:rPr>
        <w:t xml:space="preserve">Niveau : </w:t>
      </w: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  <w:vertAlign w:val="superscript"/>
        </w:rPr>
        <w:t>ième</w:t>
      </w:r>
      <w:r w:rsidRPr="00425424">
        <w:rPr>
          <w:b/>
          <w:sz w:val="24"/>
          <w:szCs w:val="24"/>
          <w:u w:val="single"/>
        </w:rPr>
        <w:t xml:space="preserve"> année </w:t>
      </w:r>
      <w:r w:rsidR="00F07323" w:rsidRPr="00425424">
        <w:rPr>
          <w:b/>
          <w:sz w:val="24"/>
          <w:szCs w:val="24"/>
          <w:u w:val="single"/>
        </w:rPr>
        <w:t>Master Physique</w:t>
      </w:r>
      <w:r>
        <w:rPr>
          <w:b/>
          <w:sz w:val="24"/>
          <w:szCs w:val="24"/>
          <w:u w:val="single"/>
        </w:rPr>
        <w:t xml:space="preserve"> Théorique           </w:t>
      </w:r>
      <w:r w:rsidRPr="00425424">
        <w:rPr>
          <w:b/>
          <w:sz w:val="24"/>
          <w:szCs w:val="24"/>
          <w:u w:val="single"/>
        </w:rPr>
        <w:t xml:space="preserve"> </w:t>
      </w:r>
      <w:r w:rsidR="00F07323">
        <w:rPr>
          <w:b/>
          <w:sz w:val="24"/>
          <w:szCs w:val="24"/>
          <w:u w:val="single"/>
        </w:rPr>
        <w:t xml:space="preserve"> </w:t>
      </w:r>
      <w:r w:rsidRPr="00425424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</w:t>
      </w:r>
      <w:r w:rsidRPr="00425424">
        <w:rPr>
          <w:b/>
          <w:sz w:val="24"/>
          <w:szCs w:val="24"/>
          <w:u w:val="single"/>
        </w:rPr>
        <w:t xml:space="preserve">                   </w:t>
      </w:r>
      <w:r>
        <w:rPr>
          <w:b/>
          <w:sz w:val="24"/>
          <w:szCs w:val="24"/>
          <w:u w:val="single"/>
        </w:rPr>
        <w:t xml:space="preserve">            </w:t>
      </w:r>
      <w:r w:rsidR="00504BDC">
        <w:rPr>
          <w:b/>
          <w:sz w:val="24"/>
          <w:szCs w:val="24"/>
          <w:u w:val="single"/>
        </w:rPr>
        <w:t xml:space="preserve">  202</w:t>
      </w:r>
      <w:r w:rsidR="001C2D64">
        <w:rPr>
          <w:b/>
          <w:sz w:val="24"/>
          <w:szCs w:val="24"/>
          <w:u w:val="single"/>
        </w:rPr>
        <w:t>3</w:t>
      </w:r>
      <w:r w:rsidR="00504BDC">
        <w:rPr>
          <w:b/>
          <w:sz w:val="24"/>
          <w:szCs w:val="24"/>
          <w:u w:val="single"/>
        </w:rPr>
        <w:t>/202</w:t>
      </w:r>
      <w:r w:rsidR="001C2D64">
        <w:rPr>
          <w:b/>
          <w:sz w:val="24"/>
          <w:szCs w:val="24"/>
          <w:u w:val="single"/>
        </w:rPr>
        <w:t>4</w:t>
      </w:r>
      <w:bookmarkStart w:id="0" w:name="_GoBack"/>
      <w:bookmarkEnd w:id="0"/>
    </w:p>
    <w:p w:rsidR="00661C51" w:rsidRDefault="00661C51"/>
    <w:p w:rsidR="00C5401C" w:rsidRPr="00661C51" w:rsidRDefault="00661C51" w:rsidP="00661C51">
      <w:pPr>
        <w:jc w:val="center"/>
        <w:rPr>
          <w:b/>
          <w:i/>
          <w:sz w:val="28"/>
          <w:szCs w:val="28"/>
          <w:u w:val="single"/>
        </w:rPr>
      </w:pPr>
      <w:r w:rsidRPr="00661C51">
        <w:rPr>
          <w:b/>
          <w:i/>
          <w:sz w:val="28"/>
          <w:szCs w:val="28"/>
          <w:u w:val="single"/>
        </w:rPr>
        <w:t>Devoir</w:t>
      </w:r>
    </w:p>
    <w:p w:rsidR="00615815" w:rsidRPr="00661C51" w:rsidRDefault="00E02C9F">
      <w:pPr>
        <w:rPr>
          <w:sz w:val="24"/>
          <w:szCs w:val="24"/>
        </w:rPr>
      </w:pPr>
      <w:r w:rsidRPr="00661C51">
        <w:rPr>
          <w:sz w:val="24"/>
          <w:szCs w:val="24"/>
        </w:rPr>
        <w:t xml:space="preserve">On considère deux photons en sens inverse, l’un </w:t>
      </w:r>
      <m:oMath>
        <m:r>
          <w:rPr>
            <w:rFonts w:ascii="Cambria Math" w:hAnsi="Cambria Math"/>
            <w:sz w:val="24"/>
            <w:szCs w:val="24"/>
          </w:rPr>
          <m:t>(1)</m:t>
        </m:r>
      </m:oMath>
      <w:r w:rsidRPr="00661C51">
        <w:rPr>
          <w:sz w:val="24"/>
          <w:szCs w:val="24"/>
        </w:rPr>
        <w:t xml:space="preserve"> suivant </w:t>
      </w:r>
      <m:oMath>
        <m:r>
          <w:rPr>
            <w:rFonts w:ascii="Cambria Math" w:hAnsi="Cambria Math"/>
            <w:sz w:val="24"/>
            <w:szCs w:val="24"/>
          </w:rPr>
          <m:t>oz</m:t>
        </m:r>
      </m:oMath>
      <w:r w:rsidRPr="00661C51">
        <w:rPr>
          <w:sz w:val="24"/>
          <w:szCs w:val="24"/>
        </w:rPr>
        <w:t xml:space="preserve"> et l’autre </w:t>
      </w:r>
      <m:oMath>
        <m:r>
          <w:rPr>
            <w:rFonts w:ascii="Cambria Math" w:hAnsi="Cambria Math"/>
            <w:sz w:val="24"/>
            <w:szCs w:val="24"/>
          </w:rPr>
          <m:t>(2)</m:t>
        </m:r>
      </m:oMath>
      <w:r w:rsidRPr="00661C51">
        <w:rPr>
          <w:sz w:val="24"/>
          <w:szCs w:val="24"/>
        </w:rPr>
        <w:t xml:space="preserve"> suivant </w:t>
      </w:r>
      <m:oMath>
        <m:r>
          <w:rPr>
            <w:rFonts w:ascii="Cambria Math" w:hAnsi="Cambria Math"/>
            <w:sz w:val="24"/>
            <w:szCs w:val="24"/>
          </w:rPr>
          <m:t>–oz</m:t>
        </m:r>
      </m:oMath>
      <w:r w:rsidRPr="00661C51">
        <w:rPr>
          <w:sz w:val="24"/>
          <w:szCs w:val="24"/>
        </w:rPr>
        <w:t xml:space="preserve"> comme indiqué sur la figure 1 dans un état de polarisation intriqué</w:t>
      </w:r>
    </w:p>
    <w:p w:rsidR="00E02C9F" w:rsidRPr="00661C51" w:rsidRDefault="0090356D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xy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yx</m:t>
                      </m:r>
                    </m:e>
                  </m:d>
                </m:e>
              </m:d>
            </m:e>
          </m:d>
        </m:oMath>
      </m:oMathPara>
    </w:p>
    <w:p w:rsidR="00E02C9F" w:rsidRPr="00661C51" w:rsidRDefault="00E02C9F">
      <w:p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Les états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</m:oMath>
      <w:r w:rsidRPr="00661C51">
        <w:rPr>
          <w:rFonts w:eastAsiaTheme="minorEastAsia"/>
          <w:sz w:val="24"/>
          <w:szCs w:val="24"/>
        </w:rPr>
        <w:t xml:space="preserve"> et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</m:e>
        </m:d>
      </m:oMath>
      <w:r w:rsidRPr="00661C51">
        <w:rPr>
          <w:rFonts w:eastAsiaTheme="minorEastAsia"/>
          <w:sz w:val="24"/>
          <w:szCs w:val="24"/>
        </w:rPr>
        <w:t xml:space="preserve"> sont des états de polarisation linéaire suivant </w:t>
      </w:r>
      <m:oMath>
        <m:r>
          <w:rPr>
            <w:rFonts w:ascii="Cambria Math" w:eastAsiaTheme="minorEastAsia" w:hAnsi="Cambria Math"/>
            <w:sz w:val="24"/>
            <w:szCs w:val="24"/>
          </w:rPr>
          <m:t>ox</m:t>
        </m:r>
      </m:oMath>
      <w:r w:rsidRPr="00661C51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oy</m:t>
        </m:r>
      </m:oMath>
      <w:r w:rsidRPr="00661C51">
        <w:rPr>
          <w:rFonts w:eastAsiaTheme="minorEastAsia"/>
          <w:sz w:val="24"/>
          <w:szCs w:val="24"/>
        </w:rPr>
        <w:t>.</w:t>
      </w: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90356D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pict>
          <v:group id="_x0000_s1045" style="position:absolute;left:0;text-align:left;margin-left:40pt;margin-top:4.85pt;width:409.5pt;height:128.85pt;z-index:251693056" coordorigin="2160,6359" coordsize="8190,2577">
            <v:rect id="_x0000_s1046" style="position:absolute;left:5700;top:8516;width:555;height:420" strokecolor="white [3212]">
              <v:textbox style="mso-next-textbox:#_x0000_s1046">
                <w:txbxContent>
                  <w:p w:rsidR="00B31067" w:rsidRDefault="00B31067" w:rsidP="00B31067">
                    <w:pPr>
                      <w:ind w:left="0" w:firstLine="0"/>
                    </w:pPr>
                    <w:r>
                      <w:t>y</w:t>
                    </w:r>
                  </w:p>
                </w:txbxContent>
              </v:textbox>
            </v:rect>
            <v:group id="_x0000_s1047" style="position:absolute;left:2160;top:6359;width:8190;height:2430" coordorigin="2400,1530" coordsize="8190,24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8" type="#_x0000_t32" style="position:absolute;left:6360;top:2880;width:4230;height:0" o:connectortype="straight">
                <v:stroke endarrow="block"/>
              </v:shape>
              <v:shape id="_x0000_s1049" type="#_x0000_t32" style="position:absolute;left:5715;top:2880;width:645;height:1080;flip:x" o:connectortype="straight">
                <v:stroke endarrow="block"/>
              </v:shape>
              <v:shape id="_x0000_s1050" type="#_x0000_t32" style="position:absolute;left:6345;top:1530;width:0;height:1350;flip:y" o:connectortype="straight">
                <v:stroke endarrow="block"/>
              </v:shape>
              <v:shape id="_x0000_s1051" type="#_x0000_t32" style="position:absolute;left:8655;top:2640;width:1035;height:15" o:connectortype="straight">
                <v:stroke endarrow="block"/>
              </v:shape>
              <v:shape id="_x0000_s1052" type="#_x0000_t32" style="position:absolute;left:8820;top:3210;width:870;height:15;flip:x y" o:connectortype="straight">
                <v:stroke endarrow="block"/>
              </v:shape>
              <v:rect id="_x0000_s1053" style="position:absolute;left:2562;top:2385;width:555;height:420" strokecolor="white [3212]">
                <v:textbox style="mso-next-textbox:#_x0000_s1053">
                  <w:txbxContent>
                    <w:p w:rsidR="00B31067" w:rsidRDefault="00B31067" w:rsidP="00B31067">
                      <w:pPr>
                        <w:ind w:left="0" w:firstLine="0"/>
                      </w:pPr>
                      <w:r>
                        <w:t>-z</w:t>
                      </w:r>
                    </w:p>
                  </w:txbxContent>
                </v:textbox>
              </v:rect>
              <v:rect id="_x0000_s1054" style="position:absolute;left:8820;top:2115;width:555;height:420" strokecolor="white [3212]">
                <v:textbox style="mso-next-textbox:#_x0000_s1054">
                  <w:txbxContent>
                    <w:p w:rsidR="00B31067" w:rsidRDefault="00B31067" w:rsidP="00B31067">
                      <w:pPr>
                        <w:ind w:left="0" w:firstLine="0"/>
                      </w:pPr>
                      <w:r>
                        <w:t>D</w:t>
                      </w:r>
                    </w:p>
                  </w:txbxContent>
                </v:textbox>
              </v:rect>
              <v:rect id="_x0000_s1055" style="position:absolute;left:9000;top:3288;width:555;height:420" strokecolor="white [3212]">
                <v:textbox style="mso-next-textbox:#_x0000_s1055">
                  <w:txbxContent>
                    <w:p w:rsidR="00B31067" w:rsidRDefault="00B31067" w:rsidP="00B31067">
                      <w:pPr>
                        <w:ind w:left="0" w:firstLine="0"/>
                      </w:pPr>
                      <w:r>
                        <w:t>G</w:t>
                      </w:r>
                    </w:p>
                  </w:txbxContent>
                </v:textbox>
              </v:rect>
              <v:rect id="_x0000_s1056" style="position:absolute;left:3930;top:2055;width:555;height:420" fillcolor="white [3212]" strokecolor="white [3212]">
                <v:textbox style="mso-next-textbox:#_x0000_s1056">
                  <w:txbxContent>
                    <w:p w:rsidR="00B31067" w:rsidRDefault="00B31067" w:rsidP="00B31067">
                      <w:pPr>
                        <w:shd w:val="clear" w:color="auto" w:fill="FFFFFF" w:themeFill="background1"/>
                        <w:ind w:left="0" w:firstLine="0"/>
                      </w:pPr>
                      <w:r>
                        <w:t>D</w:t>
                      </w:r>
                    </w:p>
                  </w:txbxContent>
                </v:textbox>
              </v:rect>
              <v:rect id="_x0000_s1057" style="position:absolute;left:6435;top:1605;width:555;height:420" strokecolor="white [3212]">
                <v:textbox style="mso-next-textbox:#_x0000_s1057">
                  <w:txbxContent>
                    <w:p w:rsidR="00B31067" w:rsidRDefault="00B31067" w:rsidP="00B31067">
                      <w:pPr>
                        <w:ind w:left="0" w:firstLine="0"/>
                      </w:pPr>
                      <w:r>
                        <w:t>x</w:t>
                      </w:r>
                    </w:p>
                  </w:txbxContent>
                </v:textbox>
              </v:rect>
              <v:rect id="_x0000_s1058" style="position:absolute;left:3870;top:3285;width:555;height:420" strokecolor="white [3212]">
                <v:textbox style="mso-next-textbox:#_x0000_s1058">
                  <w:txbxContent>
                    <w:p w:rsidR="00B31067" w:rsidRDefault="00B31067" w:rsidP="00B31067">
                      <w:pPr>
                        <w:ind w:left="0" w:firstLine="0"/>
                      </w:pPr>
                      <w:r>
                        <w:t>G</w:t>
                      </w:r>
                    </w:p>
                  </w:txbxContent>
                </v:textbox>
              </v:rect>
              <v:shape id="_x0000_s1059" type="#_x0000_t32" style="position:absolute;left:3660;top:3165;width:1035;height:15" o:connectortype="straight">
                <v:stroke endarrow="block"/>
              </v:shape>
              <v:shape id="_x0000_s1060" type="#_x0000_t32" style="position:absolute;left:3690;top:2580;width:870;height:15;flip:x y" o:connectortype="straight">
                <v:stroke endarrow="block"/>
              </v:shape>
              <v:shape id="_x0000_s1061" type="#_x0000_t32" style="position:absolute;left:2400;top:2805;width:3945;height:75;flip:x y" o:connectortype="straight">
                <v:stroke endarrow="block"/>
              </v:shape>
            </v:group>
          </v:group>
        </w:pict>
      </w: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B31067">
      <w:pPr>
        <w:rPr>
          <w:rFonts w:eastAsiaTheme="minorEastAsia"/>
          <w:sz w:val="24"/>
          <w:szCs w:val="24"/>
        </w:rPr>
      </w:pPr>
    </w:p>
    <w:p w:rsidR="00B31067" w:rsidRPr="00661C51" w:rsidRDefault="00661C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Figure 1</w:t>
      </w:r>
    </w:p>
    <w:p w:rsidR="00E02C9F" w:rsidRPr="00661C51" w:rsidRDefault="00E02C9F" w:rsidP="00E02C9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L’état de polarisation </w:t>
      </w:r>
      <w:r w:rsidR="00750176" w:rsidRPr="00661C51">
        <w:rPr>
          <w:rFonts w:eastAsiaTheme="minorEastAsia"/>
          <w:sz w:val="24"/>
          <w:szCs w:val="24"/>
        </w:rPr>
        <w:t xml:space="preserve">linéaire suivant la direction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sub>
            </m:sSub>
          </m:e>
        </m:acc>
      </m:oMath>
      <w:r w:rsidRPr="00661C51">
        <w:rPr>
          <w:rFonts w:eastAsiaTheme="minorEastAsia"/>
          <w:sz w:val="24"/>
          <w:szCs w:val="24"/>
        </w:rPr>
        <w:t xml:space="preserve"> </w:t>
      </w:r>
      <w:r w:rsidR="00750176" w:rsidRPr="00661C51">
        <w:rPr>
          <w:rFonts w:eastAsiaTheme="minorEastAsia"/>
          <w:sz w:val="24"/>
          <w:szCs w:val="24"/>
        </w:rPr>
        <w:t xml:space="preserve"> du plan </w:t>
      </w:r>
      <m:oMath>
        <m:r>
          <w:rPr>
            <w:rFonts w:ascii="Cambria Math" w:eastAsiaTheme="minorEastAsia" w:hAnsi="Cambria Math"/>
            <w:sz w:val="24"/>
            <w:szCs w:val="24"/>
          </w:rPr>
          <m:t>xoy</m:t>
        </m:r>
      </m:oMath>
      <w:r w:rsidR="00750176" w:rsidRPr="00661C51">
        <w:rPr>
          <w:rFonts w:eastAsiaTheme="minorEastAsia"/>
          <w:sz w:val="24"/>
          <w:szCs w:val="24"/>
        </w:rPr>
        <w:t xml:space="preserve"> est</w:t>
      </w:r>
    </w:p>
    <w:p w:rsidR="00750176" w:rsidRPr="00661C51" w:rsidRDefault="0090356D" w:rsidP="0022510E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d>
            </m:e>
          </m:d>
        </m:oMath>
      </m:oMathPara>
    </w:p>
    <w:p w:rsidR="0022510E" w:rsidRPr="00661C51" w:rsidRDefault="0022510E" w:rsidP="0022510E">
      <w:p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et l’état de polarisation orthogonale est </w:t>
      </w:r>
    </w:p>
    <w:p w:rsidR="0022510E" w:rsidRPr="00661C51" w:rsidRDefault="0090356D" w:rsidP="0022510E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⊥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-sin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d>
            </m:e>
          </m:d>
        </m:oMath>
      </m:oMathPara>
    </w:p>
    <w:p w:rsidR="0022510E" w:rsidRPr="00661C51" w:rsidRDefault="0022510E" w:rsidP="0022510E">
      <w:p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Montrer que </w:t>
      </w:r>
    </w:p>
    <w:p w:rsidR="0022510E" w:rsidRPr="00661C51" w:rsidRDefault="0090356D" w:rsidP="0022510E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θ 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⊥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⊥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</m:d>
            </m:e>
          </m:d>
        </m:oMath>
      </m:oMathPara>
    </w:p>
    <w:p w:rsidR="0022510E" w:rsidRPr="00661C51" w:rsidRDefault="0022510E" w:rsidP="0022510E">
      <w:p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L’état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</m:d>
      </m:oMath>
      <w:r w:rsidRPr="00661C51">
        <w:rPr>
          <w:rFonts w:eastAsiaTheme="minorEastAsia"/>
          <w:sz w:val="24"/>
          <w:szCs w:val="24"/>
        </w:rPr>
        <w:t xml:space="preserve"> est donc invariant par rotation autour de </w:t>
      </w:r>
      <m:oMath>
        <m:r>
          <w:rPr>
            <w:rFonts w:ascii="Cambria Math" w:hAnsi="Cambria Math"/>
            <w:sz w:val="24"/>
            <w:szCs w:val="24"/>
          </w:rPr>
          <m:t>oz</m:t>
        </m:r>
      </m:oMath>
      <w:r w:rsidRPr="00661C51">
        <w:rPr>
          <w:rFonts w:eastAsiaTheme="minorEastAsia"/>
          <w:sz w:val="24"/>
          <w:szCs w:val="24"/>
        </w:rPr>
        <w:t>.</w:t>
      </w:r>
    </w:p>
    <w:p w:rsidR="00750176" w:rsidRPr="00661C51" w:rsidRDefault="00750176" w:rsidP="0075017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Montrer que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</m:d>
      </m:oMath>
      <w:r w:rsidR="00004929" w:rsidRPr="00661C51">
        <w:rPr>
          <w:rFonts w:eastAsiaTheme="minorEastAsia"/>
          <w:sz w:val="24"/>
          <w:szCs w:val="24"/>
        </w:rPr>
        <w:t xml:space="preserve"> </w:t>
      </w:r>
      <w:r w:rsidR="0022510E" w:rsidRPr="00661C51">
        <w:rPr>
          <w:rFonts w:eastAsiaTheme="minorEastAsia"/>
          <w:sz w:val="24"/>
          <w:szCs w:val="24"/>
        </w:rPr>
        <w:t>s’écrit, en fonction des états de polarisation circulaire</w:t>
      </w:r>
    </w:p>
    <w:p w:rsidR="0022510E" w:rsidRPr="00661C51" w:rsidRDefault="0090356D" w:rsidP="0022510E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+i</m:t>
              </m:r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d>
                </m:e>
              </m:d>
            </m:e>
          </m:d>
        </m:oMath>
      </m:oMathPara>
    </w:p>
    <w:p w:rsidR="0022510E" w:rsidRPr="00661C51" w:rsidRDefault="0090356D" w:rsidP="0022510E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-i</m:t>
              </m:r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d>
                </m:e>
              </m:d>
            </m:e>
          </m:d>
        </m:oMath>
      </m:oMathPara>
    </w:p>
    <w:p w:rsidR="0022510E" w:rsidRPr="00661C51" w:rsidRDefault="0022510E" w:rsidP="0022510E">
      <w:p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En prenant garde au sens de propagation </w:t>
      </w:r>
      <w:r w:rsidR="00480389" w:rsidRPr="00661C51">
        <w:rPr>
          <w:rFonts w:eastAsiaTheme="minorEastAsia"/>
          <w:sz w:val="24"/>
          <w:szCs w:val="24"/>
        </w:rPr>
        <w:t xml:space="preserve">des axes </w:t>
      </w:r>
      <m:oMath>
        <m:r>
          <w:rPr>
            <w:rFonts w:ascii="Cambria Math" w:hAnsi="Cambria Math"/>
            <w:sz w:val="24"/>
            <w:szCs w:val="24"/>
          </w:rPr>
          <m:t>+oz</m:t>
        </m:r>
      </m:oMath>
      <w:r w:rsidR="00480389" w:rsidRPr="00661C51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–oz</m:t>
        </m:r>
      </m:oMath>
      <w:r w:rsidR="00480389" w:rsidRPr="00661C51">
        <w:rPr>
          <w:rFonts w:eastAsiaTheme="minorEastAsia"/>
          <w:sz w:val="24"/>
          <w:szCs w:val="24"/>
        </w:rPr>
        <w:t xml:space="preserve"> comme indiqué sur la figure 1,</w:t>
      </w:r>
    </w:p>
    <w:p w:rsidR="00480389" w:rsidRPr="00661C51" w:rsidRDefault="0090356D" w:rsidP="00480389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-i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DD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GG</m:t>
                      </m:r>
                    </m:e>
                  </m:d>
                </m:e>
              </m:d>
            </m:e>
          </m:d>
        </m:oMath>
      </m:oMathPara>
    </w:p>
    <w:p w:rsidR="00480389" w:rsidRPr="00661C51" w:rsidRDefault="00480389" w:rsidP="00480389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Soient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</m:oMath>
      <w:r w:rsidRPr="00661C51">
        <w:rPr>
          <w:rFonts w:eastAsiaTheme="minorEastAsia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</m:oMath>
      <w:r w:rsidRPr="00661C51">
        <w:rPr>
          <w:rFonts w:eastAsiaTheme="minorEastAsia"/>
          <w:sz w:val="24"/>
          <w:szCs w:val="24"/>
        </w:rPr>
        <w:t xml:space="preserve"> les projecteurs sur les états de polarisation circulaire. On peut associer à la grandeur physique polarisation circulaire l’opérateur</w:t>
      </w:r>
    </w:p>
    <w:p w:rsidR="00480389" w:rsidRPr="00661C51" w:rsidRDefault="0090356D" w:rsidP="00480389">
      <w:pPr>
        <w:pStyle w:val="Paragraphedeliste"/>
        <w:ind w:left="717" w:firstLine="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sub>
          </m:sSub>
        </m:oMath>
      </m:oMathPara>
    </w:p>
    <w:p w:rsidR="00480389" w:rsidRPr="00661C51" w:rsidRDefault="00480389" w:rsidP="00480389">
      <w:pPr>
        <w:pStyle w:val="Paragraphedelist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Montrer cet opérateur est hermitien et que ses vecteurs propres sont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</m:d>
          </m:e>
        </m:d>
      </m:oMath>
      <w:r w:rsidRPr="00661C51">
        <w:rPr>
          <w:rFonts w:eastAsiaTheme="minorEastAsia"/>
          <w:sz w:val="24"/>
          <w:szCs w:val="24"/>
        </w:rPr>
        <w:t xml:space="preserve"> et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</m:d>
          </m:e>
        </m:d>
      </m:oMath>
      <w:r w:rsidRPr="00661C51">
        <w:rPr>
          <w:rFonts w:eastAsiaTheme="minorEastAsia"/>
          <w:sz w:val="24"/>
          <w:szCs w:val="24"/>
        </w:rPr>
        <w:t>.</w:t>
      </w:r>
    </w:p>
    <w:p w:rsidR="00480389" w:rsidRPr="00661C51" w:rsidRDefault="00480389" w:rsidP="00480389">
      <w:pPr>
        <w:pStyle w:val="Paragraphedelist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En utilisant l’opérateur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sub>
        </m:sSub>
      </m:oMath>
      <w:r w:rsidRPr="00661C51">
        <w:rPr>
          <w:rFonts w:eastAsiaTheme="minorEastAsia"/>
          <w:sz w:val="24"/>
          <w:szCs w:val="24"/>
        </w:rPr>
        <w:t xml:space="preserve">, vérifier que 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i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DD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GG</m:t>
                    </m:r>
                  </m:e>
                </m:d>
              </m:e>
            </m:d>
          </m:e>
        </m:d>
      </m:oMath>
      <w:r w:rsidRPr="00661C51">
        <w:rPr>
          <w:rFonts w:eastAsiaTheme="minorEastAsia"/>
          <w:sz w:val="24"/>
          <w:szCs w:val="24"/>
        </w:rPr>
        <w:t xml:space="preserve"> est invariant par rotation autour de </w:t>
      </w:r>
      <m:oMath>
        <m:r>
          <w:rPr>
            <w:rFonts w:ascii="Cambria Math" w:eastAsiaTheme="minorEastAsia" w:hAnsi="Cambria Math"/>
            <w:sz w:val="24"/>
            <w:szCs w:val="24"/>
          </w:rPr>
          <m:t>oz.</m:t>
        </m:r>
      </m:oMath>
    </w:p>
    <w:p w:rsidR="00480389" w:rsidRPr="00661C51" w:rsidRDefault="006F1C43" w:rsidP="006F1C43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lastRenderedPageBreak/>
        <w:t xml:space="preserve">Alice et Bob analysent la polarisation des photons à l’aide de polariseurs linéaires orientés suivant les directions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sub>
            </m:sSub>
          </m:e>
        </m:acc>
      </m:oMath>
      <w:r w:rsidRPr="00661C51">
        <w:rPr>
          <w:rFonts w:eastAsiaTheme="minorEastAsia"/>
          <w:sz w:val="24"/>
          <w:szCs w:val="24"/>
        </w:rPr>
        <w:t xml:space="preserve"> pour le photon 1 et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sub>
            </m:sSub>
          </m:e>
        </m:acc>
      </m:oMath>
      <w:r w:rsidRPr="00661C51">
        <w:rPr>
          <w:rFonts w:eastAsiaTheme="minorEastAsia"/>
          <w:sz w:val="24"/>
          <w:szCs w:val="24"/>
        </w:rPr>
        <w:t xml:space="preserve"> pour le photon 2 dans le plan </w:t>
      </w:r>
      <m:oMath>
        <m:r>
          <w:rPr>
            <w:rFonts w:ascii="Cambria Math" w:eastAsiaTheme="minorEastAsia" w:hAnsi="Cambria Math"/>
            <w:sz w:val="24"/>
            <w:szCs w:val="24"/>
          </w:rPr>
          <m:t>xoy</m:t>
        </m:r>
      </m:oMath>
      <w:r w:rsidRPr="00661C51">
        <w:rPr>
          <w:rFonts w:eastAsiaTheme="minorEastAsia"/>
          <w:sz w:val="24"/>
          <w:szCs w:val="24"/>
        </w:rPr>
        <w:t xml:space="preserve">. On définit </w:t>
      </w:r>
    </w:p>
    <w:p w:rsidR="006F1C43" w:rsidRPr="00661C51" w:rsidRDefault="0090356D" w:rsidP="006F1C4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++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α, β</m:t>
            </m:r>
          </m:e>
        </m:d>
      </m:oMath>
      <w:r w:rsidR="006F1C43" w:rsidRPr="00661C51">
        <w:rPr>
          <w:rFonts w:eastAsiaTheme="minorEastAsia"/>
          <w:sz w:val="24"/>
          <w:szCs w:val="24"/>
        </w:rPr>
        <w:t xml:space="preserve">, la probabilité pour que le photon 1 soit polarisé suivant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sub>
            </m:sSub>
          </m:e>
        </m:acc>
      </m:oMath>
      <w:r w:rsidR="006F1C43" w:rsidRPr="00661C51">
        <w:rPr>
          <w:rFonts w:eastAsiaTheme="minorEastAsia"/>
          <w:sz w:val="24"/>
          <w:szCs w:val="24"/>
        </w:rPr>
        <w:t xml:space="preserve"> et le photon 2 suivant 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 </m:t>
        </m:r>
      </m:oMath>
      <w:r w:rsidR="006F1C43" w:rsidRPr="00661C51">
        <w:rPr>
          <w:rFonts w:eastAsiaTheme="minorEastAsia"/>
          <w:sz w:val="24"/>
          <w:szCs w:val="24"/>
        </w:rPr>
        <w:t>;</w:t>
      </w:r>
    </w:p>
    <w:p w:rsidR="006F1C43" w:rsidRPr="00661C51" w:rsidRDefault="0090356D" w:rsidP="006F1C4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+-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α, β</m:t>
            </m:r>
          </m:e>
        </m:d>
      </m:oMath>
      <w:r w:rsidR="006F1C43" w:rsidRPr="00661C51">
        <w:rPr>
          <w:rFonts w:eastAsiaTheme="minorEastAsia"/>
          <w:sz w:val="24"/>
          <w:szCs w:val="24"/>
        </w:rPr>
        <w:t xml:space="preserve">, la probabilité pour que le photon 1 soit polarisé suivant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sub>
            </m:sSub>
          </m:e>
        </m:acc>
      </m:oMath>
      <w:r w:rsidR="006F1C43" w:rsidRPr="00661C51">
        <w:rPr>
          <w:rFonts w:eastAsiaTheme="minorEastAsia"/>
          <w:sz w:val="24"/>
          <w:szCs w:val="24"/>
        </w:rPr>
        <w:t xml:space="preserve"> et le photon 2 suivant 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⊥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 </m:t>
        </m:r>
      </m:oMath>
      <w:r w:rsidR="006F1C43" w:rsidRPr="00661C51">
        <w:rPr>
          <w:rFonts w:eastAsiaTheme="minorEastAsia"/>
          <w:sz w:val="24"/>
          <w:szCs w:val="24"/>
        </w:rPr>
        <w:t>;</w:t>
      </w:r>
    </w:p>
    <w:p w:rsidR="006F1C43" w:rsidRPr="00661C51" w:rsidRDefault="0090356D" w:rsidP="006F1C4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-+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α, β</m:t>
            </m:r>
          </m:e>
        </m:d>
      </m:oMath>
      <w:r w:rsidR="000D4061" w:rsidRPr="00661C51">
        <w:rPr>
          <w:rFonts w:eastAsiaTheme="minorEastAsia"/>
          <w:sz w:val="24"/>
          <w:szCs w:val="24"/>
        </w:rPr>
        <w:t xml:space="preserve"> et </w:t>
      </w:r>
      <w:r w:rsidR="006F1C43" w:rsidRPr="00661C51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-+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α, β</m:t>
            </m:r>
          </m:e>
        </m:d>
      </m:oMath>
      <w:r w:rsidR="000D4061" w:rsidRPr="00661C51">
        <w:rPr>
          <w:rFonts w:eastAsiaTheme="minorEastAsia"/>
          <w:sz w:val="24"/>
          <w:szCs w:val="24"/>
        </w:rPr>
        <w:t xml:space="preserve"> étant de façon analogue.</w:t>
      </w:r>
    </w:p>
    <w:p w:rsidR="000D4061" w:rsidRPr="00661C51" w:rsidRDefault="000D4061" w:rsidP="000D4061">
      <w:pPr>
        <w:ind w:left="717" w:firstLine="0"/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>On définit le coefficient de corrélation de polarisation</w:t>
      </w:r>
    </w:p>
    <w:p w:rsidR="000D4061" w:rsidRPr="00661C51" w:rsidRDefault="000D4061" w:rsidP="000D4061">
      <w:pPr>
        <w:ind w:left="717" w:firstLine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α, β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++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α, β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--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α, β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+-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α, β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-+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α, β</m:t>
                  </m:r>
                </m:e>
              </m:d>
            </m:e>
          </m:d>
        </m:oMath>
      </m:oMathPara>
    </w:p>
    <w:p w:rsidR="000D4061" w:rsidRPr="00661C51" w:rsidRDefault="00154D20" w:rsidP="00154D20">
      <w:pPr>
        <w:pStyle w:val="Paragraphedelist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En utilisant l’invariant par rotation de </w:t>
      </w:r>
      <m:oMath>
        <m:d>
          <m:dPr>
            <m:begChr m:val="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</m:d>
      </m:oMath>
      <w:r w:rsidRPr="00661C51">
        <w:rPr>
          <w:rFonts w:eastAsiaTheme="minorEastAsia"/>
          <w:sz w:val="24"/>
          <w:szCs w:val="24"/>
        </w:rPr>
        <w:t xml:space="preserve"> pour simplifier les calculs, trouver l’expression des probabilités précédentes et montrer que</w:t>
      </w:r>
    </w:p>
    <w:p w:rsidR="006F1C43" w:rsidRPr="00661C51" w:rsidRDefault="00154D20" w:rsidP="006F1C43">
      <w:pPr>
        <w:pStyle w:val="Paragraphedeliste"/>
        <w:ind w:left="1077" w:firstLine="0"/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α, β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=-cos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-2(α- β)</m:t>
              </m:r>
            </m:e>
          </m:d>
        </m:oMath>
      </m:oMathPara>
    </w:p>
    <w:p w:rsidR="00154D20" w:rsidRPr="00661C51" w:rsidRDefault="00154D20" w:rsidP="00154D20">
      <w:pPr>
        <w:pStyle w:val="Paragraphedelist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Quelles valeurs de </w:t>
      </w:r>
      <m:oMath>
        <m:r>
          <w:rPr>
            <w:rFonts w:ascii="Cambria Math" w:eastAsiaTheme="minorEastAsia" w:hAnsi="Cambria Math"/>
            <w:sz w:val="24"/>
            <w:szCs w:val="24"/>
          </w:rPr>
          <m:t>α,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, β et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Pr="00661C51">
        <w:rPr>
          <w:rFonts w:eastAsiaTheme="minorEastAsia"/>
          <w:sz w:val="24"/>
          <w:szCs w:val="24"/>
        </w:rPr>
        <w:t xml:space="preserve"> doit-on utiliser pour obtenir comme dans le cas des spins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C5401C" w:rsidRPr="00661C51" w:rsidRDefault="00C5401C" w:rsidP="00C5401C">
      <w:pPr>
        <w:pStyle w:val="Paragraphedeliste"/>
        <w:ind w:left="1077" w:firstLine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α, β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α, β'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α', β'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α', β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2 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?</m:t>
          </m:r>
        </m:oMath>
      </m:oMathPara>
    </w:p>
    <w:p w:rsidR="00C5401C" w:rsidRPr="00661C51" w:rsidRDefault="00C5401C" w:rsidP="00C5401C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Montrer que </w:t>
      </w:r>
    </w:p>
    <w:p w:rsidR="00C5401C" w:rsidRPr="00661C51" w:rsidRDefault="0090356D" w:rsidP="00C5401C">
      <w:pPr>
        <w:pStyle w:val="Paragraphedeliste"/>
        <w:ind w:left="717" w:firstLine="0"/>
        <w:jc w:val="center"/>
        <w:rPr>
          <w:rFonts w:eastAsiaTheme="minorEastAsia"/>
          <w:sz w:val="24"/>
          <w:szCs w:val="24"/>
        </w:rPr>
      </w:pPr>
      <m:oMathPara>
        <m:oMath>
          <m:d>
            <m:dPr>
              <m:begChr m:val="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ϕ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begChr m:val="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yy</m:t>
                      </m:r>
                    </m:e>
                  </m:d>
                </m:e>
              </m:d>
            </m:e>
          </m:d>
        </m:oMath>
      </m:oMathPara>
    </w:p>
    <w:p w:rsidR="00C5401C" w:rsidRPr="00661C51" w:rsidRDefault="00C5401C" w:rsidP="00C5401C">
      <w:pPr>
        <w:rPr>
          <w:rFonts w:eastAsiaTheme="minorEastAsia"/>
          <w:sz w:val="24"/>
          <w:szCs w:val="24"/>
        </w:rPr>
      </w:pPr>
      <w:r w:rsidRPr="00661C51">
        <w:rPr>
          <w:rFonts w:eastAsiaTheme="minorEastAsia"/>
          <w:sz w:val="24"/>
          <w:szCs w:val="24"/>
        </w:rPr>
        <w:t xml:space="preserve">est également invariant par rotation autour de </w:t>
      </w:r>
      <m:oMath>
        <m:r>
          <w:rPr>
            <w:rFonts w:ascii="Cambria Math" w:eastAsiaTheme="minorEastAsia" w:hAnsi="Cambria Math"/>
            <w:sz w:val="24"/>
            <w:szCs w:val="24"/>
          </w:rPr>
          <m:t>Oz</m:t>
        </m:r>
      </m:oMath>
      <w:r w:rsidRPr="00661C51">
        <w:rPr>
          <w:rFonts w:eastAsiaTheme="minorEastAsia"/>
          <w:sz w:val="24"/>
          <w:szCs w:val="24"/>
        </w:rPr>
        <w:t>. Donner son expression en fonction des états de polarisation circulaire.</w:t>
      </w:r>
    </w:p>
    <w:p w:rsidR="00480389" w:rsidRPr="00661C51" w:rsidRDefault="00480389" w:rsidP="0022510E">
      <w:pPr>
        <w:rPr>
          <w:rFonts w:eastAsiaTheme="minorEastAsia"/>
          <w:sz w:val="24"/>
          <w:szCs w:val="24"/>
        </w:rPr>
      </w:pPr>
    </w:p>
    <w:p w:rsidR="0022510E" w:rsidRPr="00661C51" w:rsidRDefault="0022510E" w:rsidP="0022510E">
      <w:pPr>
        <w:rPr>
          <w:rFonts w:eastAsiaTheme="minorEastAsia"/>
          <w:sz w:val="24"/>
          <w:szCs w:val="24"/>
        </w:rPr>
      </w:pPr>
    </w:p>
    <w:p w:rsidR="0022510E" w:rsidRPr="00661C51" w:rsidRDefault="0022510E" w:rsidP="0022510E">
      <w:pPr>
        <w:pStyle w:val="Paragraphedeliste"/>
        <w:ind w:left="717" w:firstLine="0"/>
        <w:rPr>
          <w:sz w:val="24"/>
          <w:szCs w:val="24"/>
        </w:rPr>
      </w:pPr>
    </w:p>
    <w:sectPr w:rsidR="0022510E" w:rsidRPr="00661C51" w:rsidSect="006158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6D" w:rsidRDefault="0090356D" w:rsidP="00B31067">
      <w:r>
        <w:separator/>
      </w:r>
    </w:p>
  </w:endnote>
  <w:endnote w:type="continuationSeparator" w:id="0">
    <w:p w:rsidR="0090356D" w:rsidRDefault="0090356D" w:rsidP="00B3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64454"/>
      <w:docPartObj>
        <w:docPartGallery w:val="Page Numbers (Bottom of Page)"/>
        <w:docPartUnique/>
      </w:docPartObj>
    </w:sdtPr>
    <w:sdtEndPr/>
    <w:sdtContent>
      <w:p w:rsidR="00504BDC" w:rsidRDefault="004013B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D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BDC" w:rsidRDefault="00504B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6D" w:rsidRDefault="0090356D" w:rsidP="00B31067">
      <w:r>
        <w:separator/>
      </w:r>
    </w:p>
  </w:footnote>
  <w:footnote w:type="continuationSeparator" w:id="0">
    <w:p w:rsidR="0090356D" w:rsidRDefault="0090356D" w:rsidP="00B3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67" w:rsidRDefault="00B31067">
    <w:pPr>
      <w:pStyle w:val="En-tte"/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0BAC"/>
    <w:multiLevelType w:val="hybridMultilevel"/>
    <w:tmpl w:val="DC2C2940"/>
    <w:lvl w:ilvl="0" w:tplc="D37A7F9A">
      <w:start w:val="1"/>
      <w:numFmt w:val="lowerLetter"/>
      <w:lvlText w:val="%1-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E7747B7"/>
    <w:multiLevelType w:val="hybridMultilevel"/>
    <w:tmpl w:val="B9BE4C54"/>
    <w:lvl w:ilvl="0" w:tplc="2C3A2722">
      <w:start w:val="1"/>
      <w:numFmt w:val="decimal"/>
      <w:lvlText w:val="%1-"/>
      <w:lvlJc w:val="left"/>
      <w:pPr>
        <w:ind w:left="71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E556989"/>
    <w:multiLevelType w:val="hybridMultilevel"/>
    <w:tmpl w:val="FCC0F55E"/>
    <w:lvl w:ilvl="0" w:tplc="963E3036">
      <w:start w:val="1"/>
      <w:numFmt w:val="lowerLetter"/>
      <w:lvlText w:val="%1-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ECB139F"/>
    <w:multiLevelType w:val="hybridMultilevel"/>
    <w:tmpl w:val="7B780C8A"/>
    <w:lvl w:ilvl="0" w:tplc="469A1832">
      <w:start w:val="4"/>
      <w:numFmt w:val="bullet"/>
      <w:lvlText w:val=""/>
      <w:lvlJc w:val="left"/>
      <w:pPr>
        <w:ind w:left="1077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C9F"/>
    <w:rsid w:val="00004929"/>
    <w:rsid w:val="000D4061"/>
    <w:rsid w:val="00101EA0"/>
    <w:rsid w:val="001515ED"/>
    <w:rsid w:val="00154D20"/>
    <w:rsid w:val="001C2D64"/>
    <w:rsid w:val="0022510E"/>
    <w:rsid w:val="002338E9"/>
    <w:rsid w:val="00295888"/>
    <w:rsid w:val="004013B8"/>
    <w:rsid w:val="00480389"/>
    <w:rsid w:val="004A2C91"/>
    <w:rsid w:val="00504BDC"/>
    <w:rsid w:val="00615815"/>
    <w:rsid w:val="00661C51"/>
    <w:rsid w:val="006F1C43"/>
    <w:rsid w:val="00750176"/>
    <w:rsid w:val="00805BA5"/>
    <w:rsid w:val="008745C9"/>
    <w:rsid w:val="0090356D"/>
    <w:rsid w:val="00973184"/>
    <w:rsid w:val="00A24021"/>
    <w:rsid w:val="00AD3647"/>
    <w:rsid w:val="00B31067"/>
    <w:rsid w:val="00BD4B62"/>
    <w:rsid w:val="00C5401C"/>
    <w:rsid w:val="00E02C9F"/>
    <w:rsid w:val="00F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2"/>
        <o:r id="V:Rule2" type="connector" idref="#_x0000_s1059"/>
        <o:r id="V:Rule3" type="connector" idref="#_x0000_s1061"/>
        <o:r id="V:Rule4" type="connector" idref="#_x0000_s1048"/>
        <o:r id="V:Rule5" type="connector" idref="#_x0000_s1051"/>
        <o:r id="V:Rule6" type="connector" idref="#_x0000_s1049"/>
        <o:r id="V:Rule7" type="connector" idref="#_x0000_s1050"/>
        <o:r id="V:Rule8" type="connector" idref="#_x0000_s1060"/>
      </o:rules>
    </o:shapelayout>
  </w:shapeDefaults>
  <w:decimalSymbol w:val=","/>
  <w:listSeparator w:val=";"/>
  <w14:docId w14:val="000683FA"/>
  <w15:docId w15:val="{0A75BA4F-C2F6-49AC-A97F-6260FBB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2C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C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C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2C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10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1067"/>
  </w:style>
  <w:style w:type="paragraph" w:styleId="Pieddepage">
    <w:name w:val="footer"/>
    <w:basedOn w:val="Normal"/>
    <w:link w:val="PieddepageCar"/>
    <w:uiPriority w:val="99"/>
    <w:unhideWhenUsed/>
    <w:rsid w:val="00B310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 BOUKABCHA</dc:creator>
  <cp:lastModifiedBy>Hocine BOUKABCHA</cp:lastModifiedBy>
  <cp:revision>10</cp:revision>
  <cp:lastPrinted>2023-10-01T05:33:00Z</cp:lastPrinted>
  <dcterms:created xsi:type="dcterms:W3CDTF">2021-01-13T19:10:00Z</dcterms:created>
  <dcterms:modified xsi:type="dcterms:W3CDTF">2023-10-01T05:33:00Z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0d8ba1c08f94694eb8514466ee1963a8f73e5a1dd97ed47a2d23ba485d851461</vt:lpwstr>
  </property>
</Properties>
</file>