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D2" w:rsidRPr="0033488F" w:rsidRDefault="00F05AD2" w:rsidP="00F05AD2">
      <w:pPr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33488F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قائمة المصادر والمراجع:</w:t>
      </w:r>
    </w:p>
    <w:p w:rsidR="00F05AD2" w:rsidRPr="0033488F" w:rsidRDefault="00F05AD2" w:rsidP="00F05AD2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05AD2" w:rsidRPr="0033488F" w:rsidRDefault="00F05AD2" w:rsidP="00F05AD2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b/>
          <w:bCs/>
          <w:sz w:val="32"/>
          <w:szCs w:val="32"/>
        </w:rPr>
        <w:t>1</w:t>
      </w:r>
      <w:r w:rsidRPr="0033488F">
        <w:rPr>
          <w:rFonts w:ascii="Simplified Arabic" w:hAnsi="Simplified Arabic" w:cs="Simplified Arabic"/>
          <w:b/>
          <w:bCs/>
          <w:sz w:val="32"/>
          <w:szCs w:val="32"/>
          <w:rtl/>
        </w:rPr>
        <w:t>/ المراجع باللغة العربية: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إبراهيم صحراوي، </w:t>
      </w:r>
      <w:proofErr w:type="gram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السرد</w:t>
      </w:r>
      <w:proofErr w:type="gram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العربي القديم، الأنواع والوظائف والبنيات، الدار العربية للعلوم ناشرون، بيروت، لبنان، ط1، 2008.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ابن بطوطة، تحفة النظار في غرائب الأمصار وعجائب الأسفار،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تح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>: محمد عبد المنعم العريان، دار إحياء العلوم، بيروت، لبنان، ط1، 1987.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ابن عبد ربّه: العقد الفريد، ج1،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تح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أحمد أمين وأحمد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الزين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وإبراهيم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الأبياري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، دار الكتاب العربي، بيروت، لبنان، د/ط، 1986.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أبو العباس أحمد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القلقشندي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: صبح الأعشى، ج1، دار الكتب المصرية، القاهرة، د/ط، 1922.</w:t>
      </w:r>
    </w:p>
    <w:p w:rsidR="00F05AD2" w:rsidRPr="00F05AD2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05AD2">
        <w:rPr>
          <w:rFonts w:ascii="Simplified Arabic" w:hAnsi="Simplified Arabic" w:cs="Simplified Arabic"/>
          <w:sz w:val="32"/>
          <w:szCs w:val="32"/>
          <w:rtl/>
        </w:rPr>
        <w:t xml:space="preserve">أبو الفرج الأصفهاني، كتاب الأغاني، </w:t>
      </w:r>
      <w:proofErr w:type="spellStart"/>
      <w:r w:rsidRPr="00F05AD2">
        <w:rPr>
          <w:rFonts w:ascii="Simplified Arabic" w:hAnsi="Simplified Arabic" w:cs="Simplified Arabic"/>
          <w:sz w:val="32"/>
          <w:szCs w:val="32"/>
          <w:rtl/>
        </w:rPr>
        <w:t>تح</w:t>
      </w:r>
      <w:proofErr w:type="spellEnd"/>
      <w:r w:rsidRPr="00F05AD2">
        <w:rPr>
          <w:rFonts w:ascii="Simplified Arabic" w:hAnsi="Simplified Arabic" w:cs="Simplified Arabic"/>
          <w:sz w:val="32"/>
          <w:szCs w:val="32"/>
          <w:rtl/>
        </w:rPr>
        <w:t>: إحسان عباس، دار صادر، بيروت، لبنان، ط1، 2002.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أبو الفرج بن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الجوزي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: القصاص والمذكّرين،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تح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: مارلين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سوارتز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>، بيروت، لبنان، ط2،</w:t>
      </w:r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د/ت. 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أبو الفرج محمد بن إسحاق ابن النديم: الفهرست،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تح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>: إبراهيم رمضان، دار المعرفة، بيروت، لبنان، ط2، 1997.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أبو الفضل بديع الزمان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الهمذاني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>، المقامات، شرح وتعليق: محمد عبده، دار الكتب العلمية، بيروت، لبنان، ط3، 2005.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33488F">
        <w:rPr>
          <w:rFonts w:ascii="Simplified Arabic" w:hAnsi="Simplified Arabic" w:cs="Simplified Arabic"/>
          <w:sz w:val="32"/>
          <w:szCs w:val="32"/>
          <w:rtl/>
        </w:rPr>
        <w:t>أبو</w:t>
      </w:r>
      <w:proofErr w:type="gram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 حيان التوحيدي: </w:t>
      </w:r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الإمتاع والمؤانسة، ج1، المكتبة العصرية، بيروت، لبنان، د/ط، 2011.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أبو عثمان عمرو بن بحر الجاحظ: البيان والتبيين، ج1،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تح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عبد السلام هارون، مكتبة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الخانجي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، القاهرة، مصر، ط7، 1998.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33488F">
        <w:rPr>
          <w:rFonts w:ascii="Simplified Arabic" w:hAnsi="Simplified Arabic" w:cs="Simplified Arabic"/>
          <w:sz w:val="32"/>
          <w:szCs w:val="32"/>
          <w:rtl/>
        </w:rPr>
        <w:lastRenderedPageBreak/>
        <w:t>أبو</w:t>
      </w:r>
      <w:proofErr w:type="gram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 محمد بن القاسم بن علي الحريري: مقامات الحريري، مطبعة المعارف، بيروت،  لبنان، د/ط، 1873.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إحسان</w:t>
      </w:r>
      <w:proofErr w:type="gram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عباس: فن السيرة، دار صادر، بيروت، لبنان، ط1، 1996.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ط2، 1961.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أحمد بن فضلان، رسالة ابن فضلان،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تح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>: سامي الدهان، المجمع العلمي العربي، دمشق، سوريا، د/ط، 1959.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33488F">
        <w:rPr>
          <w:rFonts w:ascii="Simplified Arabic" w:hAnsi="Simplified Arabic" w:cs="Simplified Arabic"/>
          <w:sz w:val="32"/>
          <w:szCs w:val="32"/>
          <w:rtl/>
        </w:rPr>
        <w:t>جواد</w:t>
      </w:r>
      <w:proofErr w:type="gram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 علي: المفصّل في تاريخ العرب قبل الإسلام، دار العلم للملايين، بيروت، لبنان، ط3، 1980.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حسين محمد فهيم: أدب الرحلات، دراسة تحليلية من منظور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إثنوغرافي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، عالم المعرفة، الكويت، 1989.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>زكي مبارك: النثر العربي في القرن الرابع الهجري، ج1، المكتبة التجارية الكبرى، مصر، ط2، د/ت.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>سعيد يقطين: الكلام والخبر(مقدمة للسّرد العربي)، المركز الثقافي العربي الدّار البيضاء، المغرب/ بيروت، لبنان، ط1، 1997.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>سعيد يقطين: قال الراوي، المركز الثقافي العربي، بيروت، لبنان، ط1، 1997.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>سعيد يقطين، السرد العربي، مفاهيم وتجليات، الدار العربية للعلوم ناشرون، بيروت، لبنان، ط1، 2012.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شمس الدين الذهبي: سير أعلام النبلاء، ج11،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تح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: شعيب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الأرنؤوط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>، مؤسسة الرسالة، بيروت، لبنان، ط1، 1982.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شوقي ضيف: </w:t>
      </w:r>
      <w:proofErr w:type="gram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المقامة</w:t>
      </w:r>
      <w:proofErr w:type="gram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، دار المعارف، القاهرة، مصر، د/ط، 1954.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عبد الفتاح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كيليطو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: الحكاية والتأويل (دراسات في السرد العربي)، دار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توبقال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 للنشر، الدار البيضاء، المغرب، ط1، 1988. 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عبد الله إبراهيم: السردية العربية، بحث في البنية السردية للموروث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الحكائي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العربي، المركز الثقافي العربي، بيروت، لبنان، ط1، 1992.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عبد الله إبراهيم: </w:t>
      </w:r>
      <w:proofErr w:type="gramStart"/>
      <w:r w:rsidRPr="0033488F">
        <w:rPr>
          <w:rFonts w:ascii="Simplified Arabic" w:hAnsi="Simplified Arabic" w:cs="Simplified Arabic"/>
          <w:sz w:val="32"/>
          <w:szCs w:val="32"/>
          <w:rtl/>
        </w:rPr>
        <w:t>موسوعة</w:t>
      </w:r>
      <w:proofErr w:type="gram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 السرد العربي، ج1، المؤسسة العربية للدراسات والنشر، بيروت، لبنان، د/ط، 2008.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عبد المالك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مرتاض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>: فن المقامات في الأدب العربي، الطباعة الشعبية للجيش، الجزائر، 2007.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عمر عروة، </w:t>
      </w:r>
      <w:proofErr w:type="gramStart"/>
      <w:r w:rsidRPr="0033488F">
        <w:rPr>
          <w:rFonts w:ascii="Simplified Arabic" w:hAnsi="Simplified Arabic" w:cs="Simplified Arabic"/>
          <w:sz w:val="32"/>
          <w:szCs w:val="32"/>
          <w:rtl/>
        </w:rPr>
        <w:t>النثر</w:t>
      </w:r>
      <w:proofErr w:type="gram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 الفني القديم، أبرز فنونه وأعلامه، دار القصبة للنشر، الجزائر، د/ط، 2000.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فدوى مالطي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دوجلاس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>: بناء النص التراثي( دراسات في الأدب والتراجم)، الهيئة المصرية العامة للكتاب، مصر، د/ط، 1985.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فرج بن رمضان: الأدب العربي القديم ونظرية الأجناس (القصص)، دار محمد علي الحامي،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صفاقس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>، تونس، د/ط،2001.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فؤاد</w:t>
      </w:r>
      <w:proofErr w:type="gram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قنديل: أدب الرحلة في التراث العرب، مكتبة الدار العربية للكتاب، القاهرة، مصر، ط2، 2010.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محسن جاسم الموسوي: ألف ليلة وليلة في نظرية الأدب الإنكليزي، مركز الإنماء العربي، بيروت، ط2، 1986. 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محمد القاضي، الخبر في الأدب العربي، دراسة في السردية العربية، كليّة الآداب،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منوبة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>، تونس/ دار الغرب الإسلامي، بيروت، لبنان، ط1، 1998.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محمد بن عبد الجبار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النّفري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المواقف والمخاطبات،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تح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آرثر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أربرى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، الهيئة العامة المصرية للكتاب، القاهرة، مصر، 1985.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33488F">
        <w:rPr>
          <w:rFonts w:ascii="Simplified Arabic" w:hAnsi="Simplified Arabic" w:cs="Simplified Arabic"/>
          <w:sz w:val="32"/>
          <w:szCs w:val="32"/>
          <w:rtl/>
        </w:rPr>
        <w:t>محمد</w:t>
      </w:r>
      <w:proofErr w:type="gram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 رجب النجار: حكايات الحيوان في التراث العربي، عالم الفكر، الكويت، مج24، ع1/ 2، أكتوبر/ ديسمبر، 1995.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lastRenderedPageBreak/>
        <w:t>محمد زايد: أدبية النص الصوفي بين الإبلاغ النفعي والإبداع الفني، عالم الكتب الحديث، إربد، الأردن، ط1، 2011.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محمد عبد الغني </w:t>
      </w:r>
      <w:proofErr w:type="gram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حسن</w:t>
      </w:r>
      <w:proofErr w:type="gram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التراجم والسير، دار المعارف، القاهرة، مصر، ط3، د/ت.         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محمد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غنيمي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هلال: النقد الأدبي الحديث، نهضة مصر للطباعة والنشر والتوزيع، مصر، د/ط، 1997.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محمد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غنيمي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هلال، دور الأدب المقارن في توجيه دراسات الأدب العربي المعاصر، نهضة مصر للطباعة والنشر، القاهرة، د/ت. 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محمد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غنيمي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 هلال، الأدب المقارن،  بيروت، لبنان، دار العودة، ط5، د/ت.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محمد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غنيمي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 هلال، النماذج الإنسانية في الدراسات الأدبية المقارنة، معهد الدراسات العربية العالية، القاهرة، 1964.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>محمد يونس عبد العال، في النثر العربي قضايا وفنون ونصوص، الشركة المصرية العالمية، مصر، ط1، 1996.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>مصطفى صادق الرافعي، تاريخ آداب العرب، ج1، مكتبة الإيمان، القاهرة، مصر، ط1، 1997.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مصطفى ناصف: </w:t>
      </w:r>
      <w:proofErr w:type="gramStart"/>
      <w:r w:rsidRPr="0033488F">
        <w:rPr>
          <w:rFonts w:ascii="Simplified Arabic" w:hAnsi="Simplified Arabic" w:cs="Simplified Arabic"/>
          <w:sz w:val="32"/>
          <w:szCs w:val="32"/>
          <w:rtl/>
        </w:rPr>
        <w:t>محاورات</w:t>
      </w:r>
      <w:proofErr w:type="gram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 مع النثر العربي، عالم المعرفة، الكويت، فبراير 1997.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يوسف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النبهاني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: جامع كرامات الأولياء، ج1،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تح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: إبراهيم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عطوة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 عوض، مركز أهل سنة بركات رضا، الهند، ط1، 2001.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يوسف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حطّيني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سردية القصيدة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الحكائية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(محمود درويش نموذجا)، الهيئة السورية العامة للكتاب، وزارة الثقافة، دمشق، سوريا، د/ط، 2010.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>يوسف سامي اليوسف: مقدمة للن</w:t>
      </w:r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ّ</w:t>
      </w:r>
      <w:r w:rsidRPr="0033488F">
        <w:rPr>
          <w:rFonts w:ascii="Simplified Arabic" w:hAnsi="Simplified Arabic" w:cs="Simplified Arabic"/>
          <w:sz w:val="32"/>
          <w:szCs w:val="32"/>
          <w:rtl/>
        </w:rPr>
        <w:t>فري، دار الينابيع للطباعة والنشر والتوزيع، دمشق سوريا، 1997.</w:t>
      </w:r>
    </w:p>
    <w:p w:rsidR="00F05AD2" w:rsidRPr="0033488F" w:rsidRDefault="00F05AD2" w:rsidP="00F05AD2">
      <w:pPr>
        <w:pStyle w:val="Notedebasdepag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يوسف نور </w:t>
      </w:r>
      <w:proofErr w:type="gramStart"/>
      <w:r w:rsidRPr="0033488F">
        <w:rPr>
          <w:rFonts w:ascii="Simplified Arabic" w:hAnsi="Simplified Arabic" w:cs="Simplified Arabic"/>
          <w:sz w:val="32"/>
          <w:szCs w:val="32"/>
          <w:rtl/>
        </w:rPr>
        <w:t>عوض</w:t>
      </w:r>
      <w:proofErr w:type="gramEnd"/>
      <w:r w:rsidRPr="0033488F">
        <w:rPr>
          <w:rFonts w:ascii="Simplified Arabic" w:hAnsi="Simplified Arabic" w:cs="Simplified Arabic"/>
          <w:sz w:val="32"/>
          <w:szCs w:val="32"/>
          <w:rtl/>
        </w:rPr>
        <w:t>: فن المقامات بين المشرق والمغرب، دار القلم، بيروت، ط1، 1979.</w:t>
      </w:r>
    </w:p>
    <w:p w:rsidR="00F05AD2" w:rsidRPr="0033488F" w:rsidRDefault="00F05AD2" w:rsidP="00F05AD2">
      <w:pPr>
        <w:pStyle w:val="Notedebasdepage"/>
        <w:bidi/>
        <w:spacing w:line="276" w:lineRule="auto"/>
        <w:ind w:left="-1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3488F">
        <w:rPr>
          <w:rFonts w:ascii="Simplified Arabic" w:hAnsi="Simplified Arabic" w:cs="Simplified Arabic"/>
          <w:b/>
          <w:bCs/>
          <w:sz w:val="32"/>
          <w:szCs w:val="32"/>
          <w:rtl/>
        </w:rPr>
        <w:t>2/ الكتب المترجمة:</w:t>
      </w:r>
    </w:p>
    <w:p w:rsidR="00F05AD2" w:rsidRPr="0033488F" w:rsidRDefault="00F05AD2" w:rsidP="00F05AD2">
      <w:pPr>
        <w:pStyle w:val="Notedebasdepage"/>
        <w:numPr>
          <w:ilvl w:val="0"/>
          <w:numId w:val="2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كاترينا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مومسن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، غوته وألف ليلة وليلة، تر: أحمد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الحمو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>، وزارة التعليم العالي، دمشق، 1980.</w:t>
      </w:r>
    </w:p>
    <w:p w:rsidR="00F05AD2" w:rsidRPr="0033488F" w:rsidRDefault="00F05AD2" w:rsidP="00F05AD2">
      <w:pPr>
        <w:pStyle w:val="Notedebasdepage"/>
        <w:numPr>
          <w:ilvl w:val="0"/>
          <w:numId w:val="2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ماريا روزا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مونيكال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الدور العربي في التاريخ الأدبي للقرون الوسطى (تراث منسي)، تر: صالح بن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معيض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الغامدي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  <w:lang w:bidi="ar-DZ"/>
        </w:rPr>
        <w:t>، جامعة الملك سعود، الرياض، السعودية، د/ط، 1999.</w:t>
      </w:r>
    </w:p>
    <w:p w:rsidR="00F05AD2" w:rsidRPr="0033488F" w:rsidRDefault="00F05AD2" w:rsidP="00F05AD2">
      <w:pPr>
        <w:pStyle w:val="Notedebasdepage"/>
        <w:numPr>
          <w:ilvl w:val="0"/>
          <w:numId w:val="2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محمد أركون، توفيق فهد، جاك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لوكوف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 xml:space="preserve">: العجيب والغريب في إسلام العصر الوسيط، ترجمة وتقديم: عبد الجليل بن محمد </w:t>
      </w:r>
      <w:proofErr w:type="spellStart"/>
      <w:r w:rsidRPr="0033488F">
        <w:rPr>
          <w:rFonts w:ascii="Simplified Arabic" w:hAnsi="Simplified Arabic" w:cs="Simplified Arabic"/>
          <w:sz w:val="32"/>
          <w:szCs w:val="32"/>
          <w:rtl/>
        </w:rPr>
        <w:t>الأزدي</w:t>
      </w:r>
      <w:proofErr w:type="spellEnd"/>
      <w:r w:rsidRPr="0033488F">
        <w:rPr>
          <w:rFonts w:ascii="Simplified Arabic" w:hAnsi="Simplified Arabic" w:cs="Simplified Arabic"/>
          <w:sz w:val="32"/>
          <w:szCs w:val="32"/>
          <w:rtl/>
        </w:rPr>
        <w:t>، مطبعة النجاح الجديدة،  2002، الدار البيضاء، المغرب، ط1.</w:t>
      </w:r>
    </w:p>
    <w:p w:rsidR="00631004" w:rsidRDefault="00631004" w:rsidP="00F05AD2">
      <w:pPr>
        <w:rPr>
          <w:lang w:bidi="ar-DZ"/>
        </w:rPr>
      </w:pPr>
    </w:p>
    <w:sectPr w:rsidR="00631004" w:rsidSect="0063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45A84"/>
    <w:multiLevelType w:val="hybridMultilevel"/>
    <w:tmpl w:val="A8148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D139B"/>
    <w:multiLevelType w:val="hybridMultilevel"/>
    <w:tmpl w:val="B99C0E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F05AD2"/>
    <w:rsid w:val="00631004"/>
    <w:rsid w:val="00F0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D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basdepageCar">
    <w:name w:val="Note de bas de page Car"/>
    <w:basedOn w:val="Policepardfaut"/>
    <w:link w:val="Notedebasdepage"/>
    <w:locked/>
    <w:rsid w:val="00F05AD2"/>
    <w:rPr>
      <w:lang w:val="en-US"/>
    </w:rPr>
  </w:style>
  <w:style w:type="paragraph" w:styleId="Notedebasdepage">
    <w:name w:val="footnote text"/>
    <w:basedOn w:val="Normal"/>
    <w:link w:val="NotedebasdepageCar"/>
    <w:rsid w:val="00F05AD2"/>
    <w:pPr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tedebasdepageCar1">
    <w:name w:val="Note de bas de page Car1"/>
    <w:basedOn w:val="Policepardfaut"/>
    <w:link w:val="Notedebasdepage"/>
    <w:uiPriority w:val="99"/>
    <w:semiHidden/>
    <w:rsid w:val="00F05AD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F05AD2"/>
    <w:pPr>
      <w:bidi w:val="0"/>
      <w:spacing w:before="100" w:beforeAutospacing="1" w:after="100" w:afterAutospacing="1"/>
    </w:pPr>
    <w:rPr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761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MHD INFO</dc:creator>
  <cp:lastModifiedBy>MHD INFO</cp:lastModifiedBy>
  <cp:revision>1</cp:revision>
  <dcterms:created xsi:type="dcterms:W3CDTF">2024-09-13T14:58:00Z</dcterms:created>
  <dcterms:modified xsi:type="dcterms:W3CDTF">2024-09-13T15:03:00Z</dcterms:modified>
</cp:coreProperties>
</file>