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A1" w:rsidRDefault="002813A1" w:rsidP="002813A1">
      <w:pPr>
        <w:spacing w:after="0"/>
        <w:ind w:left="-284" w:right="-483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السادس: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النظريات الاقتصادية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B6A3C" w:rsidRDefault="002813A1" w:rsidP="00825BE9">
      <w:pPr>
        <w:spacing w:after="0"/>
        <w:ind w:left="-284" w:right="-483"/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Pr="00EB6A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Start"/>
      <w:r w:rsidR="00EB6A3C" w:rsidRPr="00EB6A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تمثل</w:t>
      </w:r>
      <w:proofErr w:type="gramEnd"/>
      <w:r w:rsidR="00EB6A3C" w:rsidRPr="00EB6A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النظريات ال</w:t>
      </w:r>
      <w:r w:rsidR="00EB6A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EB6A3C" w:rsidRPr="00EB6A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قتصادية</w:t>
      </w:r>
      <w:r w:rsidR="00EB6A3C" w:rsidRPr="00E66B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66B1F" w:rsidRPr="00E66B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 من الأفكار والمفاهيم</w:t>
      </w:r>
      <w:r w:rsidR="00E66B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A26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التي تهدف إلى فهم وتحليل العلاقات </w:t>
      </w:r>
      <w:proofErr w:type="spellStart"/>
      <w:r w:rsidR="00DA26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الاقتصادية</w:t>
      </w:r>
      <w:r w:rsidR="00825B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825B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وتعد النظريات الاقتصادية أداة حيوية لفهم كيفية عمل السوق وتوجيه القرارات الاقتصادية. </w:t>
      </w:r>
    </w:p>
    <w:p w:rsidR="00496744" w:rsidRPr="00EB6A3C" w:rsidRDefault="00496744" w:rsidP="00496744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تتنوع النظريات الاقتصادية بحسب الاهتمامات والمنهجيات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المستخدمة،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تعتمد على فكرة أن الأفراد يتخذون قراراتهم الاقتصادية بناء على المعلومات المحدودة لديهم والتوقعات المتغيرة. فيما يلي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نتطرق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مختلف النظريات الاقتصادية التي عالجت إشكالية المنظمة والسوق والمعاملات الاقتصادية. </w:t>
      </w:r>
    </w:p>
    <w:p w:rsidR="002813A1" w:rsidRDefault="002813A1" w:rsidP="00824E15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نظرية تكاليف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المعاملات: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DF0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روبرتسون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="00824E15">
        <w:rPr>
          <w:rFonts w:ascii="Simplified Arabic" w:hAnsi="Simplified Arabic" w:cs="Simplified Arabic"/>
          <w:sz w:val="28"/>
          <w:szCs w:val="28"/>
          <w:rtl/>
          <w:lang w:bidi="ar-DZ"/>
        </w:rPr>
        <w:t>1928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السوق هو من ينسق مجهود الأعوان وهو من يحدد التوازن. كما أن اللجوء إلى السوق ينتج عنه تكاليف بسبب عدم توفر المعلومات(المعلومات ليست مجانية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جهة ومن جهة أخرى العقود مكلفة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تكاليف مفاوضات العقود بالإضافة إلى تكاليف إبرام العقود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وهذا ما يولد ما نسميه بتكاليف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المعاملات،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وفيما يلي نشرح نظرية تكاليف المعاملات وأهم مفكريها. </w:t>
      </w:r>
    </w:p>
    <w:p w:rsidR="002813A1" w:rsidRDefault="002813A1" w:rsidP="00201735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940F7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 w:rsidRPr="00940F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محتوى نظرية تكاليف </w:t>
      </w:r>
      <w:proofErr w:type="spellStart"/>
      <w:r w:rsidRPr="00940F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المعاملات:</w:t>
      </w:r>
      <w:proofErr w:type="spellEnd"/>
      <w:r w:rsidRPr="00940F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410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تمثلت فكرة</w:t>
      </w:r>
      <w:r w:rsidR="00D32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رونالد</w:t>
      </w:r>
      <w:r w:rsidRPr="0044101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كواز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D32282">
        <w:rPr>
          <w:rFonts w:ascii="Simplified Arabic" w:hAnsi="Simplified Arabic" w:cs="Simplified Arabic"/>
          <w:sz w:val="28"/>
          <w:szCs w:val="28"/>
          <w:rtl/>
          <w:lang w:bidi="ar-DZ"/>
        </w:rPr>
        <w:t>1937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أن يمكن للمؤسسة أن تكون بديلا للسوق عندما تصبح تكاليف السوق أكبر من تكاليف إنشاء مؤسسة باعتبار ان المؤسسة توجد وتنمو ما دامت تكاليفها أقل من تكاليف المعاملات(السوق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من مهام المدير تخفيض تكاليف المؤسسة. كما طور</w:t>
      </w:r>
      <w:r w:rsidR="00D32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32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أوليف</w:t>
      </w:r>
      <w:r w:rsidR="002017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ويليامسون</w:t>
      </w:r>
      <w:r w:rsidR="00D32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D32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32282">
        <w:rPr>
          <w:rFonts w:ascii="Simplified Arabic" w:hAnsi="Simplified Arabic" w:cs="Simplified Arabic"/>
          <w:sz w:val="28"/>
          <w:szCs w:val="28"/>
          <w:rtl/>
          <w:lang w:bidi="ar-DZ"/>
        </w:rPr>
        <w:t>1975</w:t>
      </w:r>
      <w:proofErr w:type="spellStart"/>
      <w:r w:rsidR="00D32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فكرة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كواز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يخص تكاليف المعاملات وأدمجها مع فكرة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هاربار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يخص الرشد المحدود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نقص المعلومات للفرد فيما يخص محيط المعاملة ونتائجها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عدم التأكد بالنسبة للعقود نتج عنه ما أسماه بالعقود غير التامة والتي كانت ضمن الفرضية السلوكية. </w:t>
      </w:r>
    </w:p>
    <w:p w:rsidR="002813A1" w:rsidRDefault="002813A1" w:rsidP="00824E15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العقود غير تامة هذا يعرض طرف إلى خطر انتهازية الطرف الأخر(إمكانية إخفاء معلومات أو تغييرها خدمة لمصلحته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يستدعي وجوب رقابة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تكاليف الرقابة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تساعد المؤسسة على تقليص هذه المخاطر. كما أكد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ويليامسون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حجم المؤسسة تحدده قدرة المؤسسة على تقليص تكاليف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المعاملات،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يتبع 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القرار بالصنع أو بالشراء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تحديد نوع المعاملة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وإعداد الهيكل المناسب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تحديد أسلوب إدارة المعاملة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13A1" w:rsidRDefault="002813A1" w:rsidP="00ED2E29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7C07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 w:rsidRPr="007C07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مصفوفة</w:t>
      </w:r>
      <w:r w:rsidR="00ED2E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ED2E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Pr="007C07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معاملات:</w:t>
      </w:r>
      <w:proofErr w:type="spellEnd"/>
      <w:r w:rsidRPr="007C07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6F567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 التطرق إلى مصفوفات المعاملات ارتأينا تقديم خصائص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من</w:t>
      </w:r>
      <w:r w:rsidRPr="006F56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الأصول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وتكرار المعاملات كما يلي: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EF377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*</w:t>
      </w:r>
      <w:proofErr w:type="spellEnd"/>
      <w:r w:rsidRPr="00EF37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F37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الأصول:</w:t>
      </w:r>
      <w:proofErr w:type="spellEnd"/>
      <w:r w:rsidRPr="00EF37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الأصول التي تستعمل في أكثر من نشاط هي أصول قابلة لإعادة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الانتشار،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الأصول التي تستعمل إلا في نشاط معين هي أصول ذات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خصوصية،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فكلما زادت خصوصية الأصول كلما زادت تبعية المؤسسة لصاحب هذه الأصول وتكون هذه التبعية خطيرة عندما يتعلق الأمر بمعاملات طويلة الأجل.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EF377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EF37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EF37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تكرار</w:t>
      </w:r>
      <w:proofErr w:type="gramEnd"/>
      <w:r w:rsidRPr="00EF37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F37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المعاملات:</w:t>
      </w:r>
      <w:proofErr w:type="spellEnd"/>
      <w:r w:rsidRPr="00EF37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624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كلما زاد تكرار المعاملة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كلما ارتفع الارتياب وزادت المخاطر.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وفيما يلي جدول مصفوفة المعاملات ثم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سيتم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شرح مكونات هذه المصفوف.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2813A1" w:rsidRPr="00177DAD" w:rsidRDefault="002813A1" w:rsidP="002813A1">
      <w:pPr>
        <w:spacing w:after="0"/>
        <w:ind w:left="-284" w:right="-483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77D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الجدول </w:t>
      </w:r>
      <w:proofErr w:type="spellStart"/>
      <w:r w:rsidRPr="00177D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رقم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01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 </w:t>
      </w:r>
      <w:r w:rsidRPr="00177D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مصفوفة المعاملات</w:t>
      </w:r>
      <w:r w:rsidRPr="00177DA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13751" w:type="dxa"/>
        <w:tblInd w:w="-1168" w:type="dxa"/>
        <w:tblLook w:val="04A0"/>
      </w:tblPr>
      <w:tblGrid>
        <w:gridCol w:w="1702"/>
        <w:gridCol w:w="1559"/>
        <w:gridCol w:w="2977"/>
        <w:gridCol w:w="7513"/>
      </w:tblGrid>
      <w:tr w:rsidR="005D2FE2" w:rsidTr="005D2FE2">
        <w:trPr>
          <w:trHeight w:val="1063"/>
        </w:trPr>
        <w:tc>
          <w:tcPr>
            <w:tcW w:w="3261" w:type="dxa"/>
            <w:gridSpan w:val="2"/>
          </w:tcPr>
          <w:p w:rsidR="002813A1" w:rsidRPr="00812C65" w:rsidRDefault="002813A1" w:rsidP="00812C65">
            <w:pPr>
              <w:ind w:right="-340"/>
              <w:rPr>
                <w:rFonts w:ascii="Simplified Arabic" w:hAnsi="Simplified Arabic" w:cs="Simplified Arabic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</w:pPr>
          </w:p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632423" w:themeColor="accent2" w:themeShade="80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>الفرضيات</w:t>
            </w:r>
            <w:proofErr w:type="gramEnd"/>
            <w:r w:rsidRPr="00812C65">
              <w:rPr>
                <w:rFonts w:ascii="Simplified Arabic" w:hAnsi="Simplified Arabic" w:cs="Simplified Arabic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 xml:space="preserve"> السلوكية</w:t>
            </w:r>
          </w:p>
        </w:tc>
        <w:tc>
          <w:tcPr>
            <w:tcW w:w="2977" w:type="dxa"/>
            <w:vMerge w:val="restart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403152" w:themeColor="accent4" w:themeShade="80"/>
                <w:sz w:val="28"/>
                <w:szCs w:val="28"/>
                <w:lang w:bidi="ar-DZ"/>
              </w:rPr>
            </w:pPr>
            <w:r w:rsidRPr="00812C65">
              <w:rPr>
                <w:rFonts w:ascii="Simplified Arabic" w:hAnsi="Simplified Arabic" w:cs="Simplified Arabic" w:hint="cs"/>
                <w:b/>
                <w:bCs/>
                <w:color w:val="403152" w:themeColor="accent4" w:themeShade="80"/>
                <w:sz w:val="28"/>
                <w:szCs w:val="28"/>
                <w:rtl/>
                <w:lang w:bidi="ar-DZ"/>
              </w:rPr>
              <w:t>خصوصية الأصول</w:t>
            </w:r>
          </w:p>
        </w:tc>
        <w:tc>
          <w:tcPr>
            <w:tcW w:w="7513" w:type="dxa"/>
            <w:vMerge w:val="restart"/>
          </w:tcPr>
          <w:p w:rsidR="002813A1" w:rsidRPr="00812C65" w:rsidRDefault="002813A1" w:rsidP="005D2FE2">
            <w:pPr>
              <w:ind w:right="2728"/>
              <w:jc w:val="center"/>
              <w:rPr>
                <w:rFonts w:ascii="Simplified Arabic" w:hAnsi="Simplified Arabic" w:cs="Simplified Arabic"/>
                <w:b/>
                <w:bCs/>
                <w:color w:val="984806" w:themeColor="accent6" w:themeShade="80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984806" w:themeColor="accent6" w:themeShade="80"/>
                <w:sz w:val="28"/>
                <w:szCs w:val="28"/>
                <w:rtl/>
                <w:lang w:bidi="ar-DZ"/>
              </w:rPr>
              <w:t>طبيعة</w:t>
            </w:r>
            <w:proofErr w:type="gramEnd"/>
            <w:r w:rsidRPr="00812C65">
              <w:rPr>
                <w:rFonts w:ascii="Simplified Arabic" w:hAnsi="Simplified Arabic" w:cs="Simplified Arabic" w:hint="cs"/>
                <w:b/>
                <w:bCs/>
                <w:color w:val="984806" w:themeColor="accent6" w:themeShade="80"/>
                <w:sz w:val="28"/>
                <w:szCs w:val="28"/>
                <w:rtl/>
                <w:lang w:bidi="ar-DZ"/>
              </w:rPr>
              <w:t xml:space="preserve"> المعاملة</w:t>
            </w:r>
            <w:r w:rsidR="005D2FE2">
              <w:rPr>
                <w:rFonts w:ascii="Simplified Arabic" w:hAnsi="Simplified Arabic" w:cs="Simplified Arabic" w:hint="cs"/>
                <w:b/>
                <w:bCs/>
                <w:color w:val="984806" w:themeColor="accent6" w:themeShade="80"/>
                <w:sz w:val="28"/>
                <w:szCs w:val="28"/>
                <w:rtl/>
                <w:lang w:bidi="ar-DZ"/>
              </w:rPr>
              <w:t xml:space="preserve">                   </w:t>
            </w:r>
          </w:p>
        </w:tc>
      </w:tr>
      <w:tr w:rsidR="00812C65" w:rsidTr="005B4C1D">
        <w:trPr>
          <w:trHeight w:val="554"/>
        </w:trPr>
        <w:tc>
          <w:tcPr>
            <w:tcW w:w="1702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>الرشد</w:t>
            </w:r>
            <w:proofErr w:type="gramEnd"/>
            <w:r w:rsidRPr="00812C65">
              <w:rPr>
                <w:rFonts w:ascii="Simplified Arabic" w:hAnsi="Simplified Arabic" w:cs="Simplified Arabic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 xml:space="preserve"> المحدود</w:t>
            </w:r>
          </w:p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>الانتهازية</w:t>
            </w:r>
            <w:proofErr w:type="gramEnd"/>
          </w:p>
        </w:tc>
        <w:tc>
          <w:tcPr>
            <w:tcW w:w="2977" w:type="dxa"/>
            <w:vMerge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513" w:type="dxa"/>
            <w:vMerge/>
          </w:tcPr>
          <w:p w:rsidR="002813A1" w:rsidRPr="00812C65" w:rsidRDefault="002813A1" w:rsidP="005D2FE2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12C65" w:rsidTr="005B4C1D">
        <w:tc>
          <w:tcPr>
            <w:tcW w:w="1702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76923C" w:themeColor="accent3" w:themeShade="BF"/>
                <w:sz w:val="28"/>
                <w:szCs w:val="28"/>
                <w:lang w:bidi="ar-DZ"/>
              </w:rPr>
            </w:pPr>
            <w:r w:rsidRPr="00812C65">
              <w:rPr>
                <w:rFonts w:ascii="Simplified Arabic" w:hAnsi="Simplified Arabic" w:cs="Simplified Arabic" w:hint="cs"/>
                <w:b/>
                <w:bCs/>
                <w:color w:val="76923C" w:themeColor="accent3" w:themeShade="BF"/>
                <w:sz w:val="28"/>
                <w:szCs w:val="28"/>
                <w:rtl/>
                <w:lang w:bidi="ar-DZ"/>
              </w:rPr>
              <w:t>غير موجود</w:t>
            </w:r>
          </w:p>
        </w:tc>
        <w:tc>
          <w:tcPr>
            <w:tcW w:w="1559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4F81BD" w:themeColor="accent1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2977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7513" w:type="dxa"/>
          </w:tcPr>
          <w:p w:rsidR="002813A1" w:rsidRPr="00812C65" w:rsidRDefault="002813A1" w:rsidP="005D2FE2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948A54" w:themeColor="background2" w:themeShade="80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948A54" w:themeColor="background2" w:themeShade="80"/>
                <w:sz w:val="28"/>
                <w:szCs w:val="28"/>
                <w:rtl/>
                <w:lang w:bidi="ar-DZ"/>
              </w:rPr>
              <w:t>تخطيط</w:t>
            </w:r>
            <w:proofErr w:type="gramEnd"/>
          </w:p>
        </w:tc>
      </w:tr>
      <w:tr w:rsidR="00812C65" w:rsidTr="005B4C1D">
        <w:tc>
          <w:tcPr>
            <w:tcW w:w="1702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76923C" w:themeColor="accent3" w:themeShade="BF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76923C" w:themeColor="accent3" w:themeShade="BF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1559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4F81BD" w:themeColor="accent1"/>
                <w:sz w:val="28"/>
                <w:szCs w:val="28"/>
                <w:lang w:bidi="ar-DZ"/>
              </w:rPr>
            </w:pPr>
            <w:r w:rsidRPr="00812C65">
              <w:rPr>
                <w:rFonts w:ascii="Simplified Arabic" w:hAnsi="Simplified Arabic" w:cs="Simplified Arabic" w:hint="cs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  <w:t>غير موجود</w:t>
            </w:r>
          </w:p>
        </w:tc>
        <w:tc>
          <w:tcPr>
            <w:tcW w:w="2977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7513" w:type="dxa"/>
          </w:tcPr>
          <w:p w:rsidR="002813A1" w:rsidRPr="00812C65" w:rsidRDefault="002813A1" w:rsidP="005D2FE2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948A54" w:themeColor="background2" w:themeShade="80"/>
                <w:sz w:val="28"/>
                <w:szCs w:val="28"/>
                <w:lang w:bidi="ar-DZ"/>
              </w:rPr>
            </w:pPr>
            <w:r w:rsidRPr="00812C65">
              <w:rPr>
                <w:rFonts w:ascii="Simplified Arabic" w:hAnsi="Simplified Arabic" w:cs="Simplified Arabic" w:hint="cs"/>
                <w:b/>
                <w:bCs/>
                <w:color w:val="948A54" w:themeColor="background2" w:themeShade="80"/>
                <w:sz w:val="28"/>
                <w:szCs w:val="28"/>
                <w:rtl/>
                <w:lang w:bidi="ar-DZ"/>
              </w:rPr>
              <w:t>وعد</w:t>
            </w:r>
          </w:p>
        </w:tc>
      </w:tr>
      <w:tr w:rsidR="00812C65" w:rsidTr="005B4C1D">
        <w:tc>
          <w:tcPr>
            <w:tcW w:w="1702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76923C" w:themeColor="accent3" w:themeShade="BF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76923C" w:themeColor="accent3" w:themeShade="BF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1559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4F81BD" w:themeColor="accent1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2977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812C65"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غير موجود</w:t>
            </w:r>
          </w:p>
        </w:tc>
        <w:tc>
          <w:tcPr>
            <w:tcW w:w="7513" w:type="dxa"/>
          </w:tcPr>
          <w:p w:rsidR="002813A1" w:rsidRPr="00812C65" w:rsidRDefault="002813A1" w:rsidP="005D2FE2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948A54" w:themeColor="background2" w:themeShade="80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948A54" w:themeColor="background2" w:themeShade="80"/>
                <w:sz w:val="28"/>
                <w:szCs w:val="28"/>
                <w:rtl/>
                <w:lang w:bidi="ar-DZ"/>
              </w:rPr>
              <w:t>المنافسة</w:t>
            </w:r>
            <w:proofErr w:type="gramEnd"/>
          </w:p>
        </w:tc>
      </w:tr>
      <w:tr w:rsidR="00812C65" w:rsidTr="005B4C1D">
        <w:tc>
          <w:tcPr>
            <w:tcW w:w="1702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76923C" w:themeColor="accent3" w:themeShade="BF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76923C" w:themeColor="accent3" w:themeShade="BF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1559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4F81BD" w:themeColor="accent1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2977" w:type="dxa"/>
          </w:tcPr>
          <w:p w:rsidR="002813A1" w:rsidRPr="00812C65" w:rsidRDefault="002813A1" w:rsidP="00812C65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812C65"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موجود</w:t>
            </w:r>
            <w:proofErr w:type="gramEnd"/>
          </w:p>
        </w:tc>
        <w:tc>
          <w:tcPr>
            <w:tcW w:w="7513" w:type="dxa"/>
          </w:tcPr>
          <w:p w:rsidR="002813A1" w:rsidRPr="00812C65" w:rsidRDefault="002813A1" w:rsidP="005D2FE2">
            <w:pPr>
              <w:ind w:right="-340"/>
              <w:jc w:val="center"/>
              <w:rPr>
                <w:rFonts w:ascii="Simplified Arabic" w:hAnsi="Simplified Arabic" w:cs="Simplified Arabic"/>
                <w:b/>
                <w:bCs/>
                <w:color w:val="948A54" w:themeColor="background2" w:themeShade="80"/>
                <w:sz w:val="28"/>
                <w:szCs w:val="28"/>
                <w:lang w:bidi="ar-DZ"/>
              </w:rPr>
            </w:pPr>
            <w:proofErr w:type="spellStart"/>
            <w:r w:rsidRPr="00812C65">
              <w:rPr>
                <w:rFonts w:ascii="Simplified Arabic" w:hAnsi="Simplified Arabic" w:cs="Simplified Arabic" w:hint="cs"/>
                <w:b/>
                <w:bCs/>
                <w:color w:val="948A54" w:themeColor="background2" w:themeShade="80"/>
                <w:sz w:val="28"/>
                <w:szCs w:val="28"/>
                <w:rtl/>
                <w:lang w:bidi="ar-DZ"/>
              </w:rPr>
              <w:t>الحوكمة</w:t>
            </w:r>
            <w:proofErr w:type="spellEnd"/>
          </w:p>
        </w:tc>
      </w:tr>
    </w:tbl>
    <w:p w:rsidR="002813A1" w:rsidRPr="00FA3266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624D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FA32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A32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المصدر:</w:t>
      </w:r>
      <w:proofErr w:type="spellEnd"/>
      <w:r w:rsidRPr="00FA32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القحطاني،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مرجع سبق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28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C73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</w:t>
      </w:r>
      <w:proofErr w:type="gramEnd"/>
      <w:r w:rsidRPr="00DC73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يخص </w:t>
      </w:r>
      <w:proofErr w:type="spellStart"/>
      <w:r w:rsidRPr="00DC73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التخطيط،</w:t>
      </w:r>
      <w:proofErr w:type="spellEnd"/>
      <w:r w:rsidRPr="00DC73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حالة الانتهازية تحرر العقود بدقة حتى تشمل أكبر قدر من الاحتمالات خاصة وأن الرشد المتبع هو الرشد المطلق.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يخص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الوعد،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غياب الانتهازية تسود الثقة ويكتفي الطرف بوعد الطرف الثاني.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يخص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المنافسة،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لما يكون الرشد المحدود قائم والانتهازية موجودة وفي حالة عدم خصوصية الأصول يكون التعامل حسب السوق.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تكون علاقة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قائمة عندما يكون الرشد المحدود سائد والانتهازية موجودة وفي حالة خصوصية الأصول. </w:t>
      </w:r>
    </w:p>
    <w:p w:rsidR="002813A1" w:rsidRDefault="002813A1" w:rsidP="00CD6BA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067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مصفوفة </w:t>
      </w:r>
      <w:proofErr w:type="spellStart"/>
      <w:r w:rsidRPr="005067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العقود:</w:t>
      </w:r>
      <w:proofErr w:type="spellEnd"/>
      <w:r w:rsidRPr="005067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أدخل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ويليامسون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عامل التكرار ضمن مصفوفة العقود </w:t>
      </w:r>
      <w:r w:rsidR="00FE74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ويمكن شرحها كالأتي</w:t>
      </w:r>
      <w:r w:rsidR="005656CF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2813A1" w:rsidRDefault="002813A1" w:rsidP="002813A1">
      <w:pPr>
        <w:tabs>
          <w:tab w:val="left" w:pos="13577"/>
        </w:tabs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القرار بالشراء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حالة عدم خصوصية الأصول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عقد كلاسيكي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</w:p>
    <w:p w:rsidR="002813A1" w:rsidRDefault="002813A1" w:rsidP="002813A1">
      <w:pPr>
        <w:tabs>
          <w:tab w:val="left" w:pos="13577"/>
        </w:tabs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القرار بالشراء في حالة التكرار الضعيف مع الاعتماد بطرف ثالث. </w:t>
      </w:r>
    </w:p>
    <w:p w:rsidR="002813A1" w:rsidRDefault="002813A1" w:rsidP="002813A1">
      <w:pPr>
        <w:tabs>
          <w:tab w:val="left" w:pos="13577"/>
        </w:tabs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القرار بالمناولة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 في حالة التكرار القوي. </w:t>
      </w:r>
    </w:p>
    <w:p w:rsidR="002813A1" w:rsidRDefault="002813A1" w:rsidP="002813A1">
      <w:pPr>
        <w:tabs>
          <w:tab w:val="left" w:pos="13577"/>
        </w:tabs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القرار بالصنع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الهيكلة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الموحدة في حالة الخصوصية العالية والتكرار القوي. </w:t>
      </w:r>
    </w:p>
    <w:p w:rsidR="002813A1" w:rsidRDefault="002813A1" w:rsidP="002813A1">
      <w:pPr>
        <w:tabs>
          <w:tab w:val="left" w:pos="13577"/>
        </w:tabs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اختيار الهيكل المناسب وفقا للقرار بالصنع أم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بالشراء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 w:rsidRPr="006F0B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F0B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تقييم</w:t>
      </w:r>
      <w:proofErr w:type="gramEnd"/>
      <w:r w:rsidRPr="006F0B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 تكاليف المعاملات: </w:t>
      </w:r>
    </w:p>
    <w:p w:rsidR="002813A1" w:rsidRDefault="002813A1" w:rsidP="006A33E7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يمكن تقييم نظرية الحقوق في النقاط الآتية: </w:t>
      </w:r>
    </w:p>
    <w:p w:rsidR="006C1FE2" w:rsidRDefault="006C1FE2" w:rsidP="001B1CDF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تسمح نظرية تكاليف المعاملات بتطوير </w:t>
      </w:r>
      <w:r w:rsidR="003717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الاستراتيجيات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proofErr w:type="spellStart"/>
      <w:r w:rsidR="000E4A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1B1C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</w:t>
      </w:r>
      <w:r w:rsidR="000E4A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ويل،</w:t>
      </w:r>
      <w:proofErr w:type="spellEnd"/>
      <w:r w:rsidR="000E4A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الاندماج والشراكة. </w:t>
      </w:r>
    </w:p>
    <w:p w:rsidR="006C1FE2" w:rsidRDefault="002813A1" w:rsidP="00097C24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="006C1F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C1FE2" w:rsidRP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تتعارض مع</w:t>
      </w:r>
      <w:r w:rsidR="006C1F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C1FE2" w:rsidRP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الهيكلين </w:t>
      </w:r>
      <w:r w:rsidR="00097C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6C1FE2" w:rsidRP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الأسواق والشركات</w:t>
      </w:r>
      <w:proofErr w:type="spellStart"/>
      <w:r w:rsidR="00097C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97C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ولكن</w:t>
      </w:r>
      <w:r w:rsid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يوجد أنظمة هجينة</w:t>
      </w:r>
      <w:proofErr w:type="spellStart"/>
      <w:r w:rsid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الشبكات</w:t>
      </w:r>
      <w:proofErr w:type="spellStart"/>
      <w:r w:rsid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 w:rsid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C1FE2" w:rsidRPr="006C1F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125E9" w:rsidRPr="00434128" w:rsidRDefault="000E4ABF" w:rsidP="00434128">
      <w:pPr>
        <w:pStyle w:val="PrformatHTML"/>
        <w:bidi/>
        <w:spacing w:after="240" w:line="276" w:lineRule="auto"/>
        <w:ind w:left="-52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125E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="007125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التحكيم بين السوق والتسلسل الهرمي. </w:t>
      </w:r>
      <w:proofErr w:type="gram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نحن</w:t>
      </w:r>
      <w:proofErr w:type="gram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نفترض أن أشكال التنسيق المختلفة قابلة للمقارنة (نتائج متطابقة ولكن تكاليف مختلفة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)،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ونفترض أيضًا أنه من الممكن تقييم تكلفة هذه الأشكال من التنسيق. </w:t>
      </w:r>
      <w:proofErr w:type="gram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ومع</w:t>
      </w:r>
      <w:proofErr w:type="gram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ذلك،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إذا كان من الممكن معرفة تكاليف اللجوء إلى 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السوق،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فمن ناحية 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أخرى،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لا يمكن معرفة تكاليف </w:t>
      </w:r>
      <w:r w:rsidR="00540573">
        <w:rPr>
          <w:rFonts w:ascii="Simplified Arabic" w:hAnsi="Simplified Arabic" w:cs="Simplified Arabic" w:hint="cs"/>
          <w:sz w:val="28"/>
          <w:szCs w:val="28"/>
          <w:rtl/>
        </w:rPr>
        <w:t>التدويل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إلا بعد إجراء </w:t>
      </w:r>
      <w:r w:rsidR="00540573">
        <w:rPr>
          <w:rFonts w:ascii="Simplified Arabic" w:hAnsi="Simplified Arabic" w:cs="Simplified Arabic" w:hint="cs"/>
          <w:sz w:val="28"/>
          <w:szCs w:val="28"/>
          <w:rtl/>
        </w:rPr>
        <w:t>التدويل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2B4C9E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سؤال </w:t>
      </w:r>
      <w:r w:rsidR="002B4C9E">
        <w:rPr>
          <w:rFonts w:ascii="Simplified Arabic" w:hAnsi="Simplified Arabic" w:cs="Simplified Arabic" w:hint="cs"/>
          <w:sz w:val="28"/>
          <w:szCs w:val="28"/>
          <w:rtl/>
        </w:rPr>
        <w:t xml:space="preserve">الذي يطرح </w:t>
      </w:r>
      <w:proofErr w:type="spellStart"/>
      <w:r w:rsidR="002B4C9E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متى يجب أن نفكر </w:t>
      </w:r>
      <w:proofErr w:type="gram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بديل السوق/التسلسل 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الهرمي؟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إذا كان لا بد من إجراء هذا التحكيم في أي 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وقت،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فإن هذا يفترض ليس فقط مراقبة دائمة 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>للأعوان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الاقتصاديين (ما 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>يتولد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>عنه ت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كلفة البحث عن المعلومات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)،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ولكن أيضًا تناوب دائم بين السوق والتسلسل الهرمي (وهو ما له أيضًا تكلفة</w:t>
      </w:r>
      <w:proofErr w:type="spellStart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>)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 xml:space="preserve">إن 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التغيير التنظيمي الذي 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>لم تشير إليه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 xml:space="preserve">نظرية تكاليف 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المعاملات </w:t>
      </w:r>
      <w:r w:rsidR="00434128">
        <w:rPr>
          <w:rFonts w:ascii="Simplified Arabic" w:hAnsi="Simplified Arabic" w:cs="Simplified Arabic" w:hint="cs"/>
          <w:sz w:val="28"/>
          <w:szCs w:val="28"/>
          <w:rtl/>
        </w:rPr>
        <w:t>ما أدى</w:t>
      </w:r>
      <w:r w:rsidR="007125E9" w:rsidRPr="007125E9">
        <w:rPr>
          <w:rFonts w:ascii="Simplified Arabic" w:hAnsi="Simplified Arabic" w:cs="Simplified Arabic"/>
          <w:sz w:val="28"/>
          <w:szCs w:val="28"/>
          <w:rtl/>
        </w:rPr>
        <w:t xml:space="preserve"> إلى حدود</w:t>
      </w:r>
      <w:r w:rsidR="003455F9">
        <w:rPr>
          <w:rFonts w:ascii="Simplified Arabic" w:hAnsi="Simplified Arabic" w:cs="Simplified Arabic" w:hint="cs"/>
          <w:sz w:val="28"/>
          <w:szCs w:val="28"/>
          <w:rtl/>
        </w:rPr>
        <w:t xml:space="preserve"> هذه النظرية.</w:t>
      </w:r>
    </w:p>
    <w:p w:rsidR="002813A1" w:rsidRDefault="002813A1" w:rsidP="0050215B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نظرية حقوق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الملكية: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263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ظهرت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نظرية حقوق الملكية في السبعينيات من القرن الماضي لدراسة إشكالية الملكية وحقوقها باعتبارها إشكالية قديمة وتم تناولها بشكل غربي حديث من قبل مؤسسيها كل من هارولد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دامساتز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="0050215B">
        <w:rPr>
          <w:rFonts w:ascii="Simplified Arabic" w:hAnsi="Simplified Arabic" w:cs="Simplified Arabic"/>
          <w:sz w:val="28"/>
          <w:szCs w:val="28"/>
          <w:rtl/>
          <w:lang w:bidi="ar-DZ"/>
        </w:rPr>
        <w:t>1967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وأرمن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ألشيان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="0050215B">
        <w:rPr>
          <w:rFonts w:ascii="Simplified Arabic" w:hAnsi="Simplified Arabic" w:cs="Simplified Arabic"/>
          <w:sz w:val="28"/>
          <w:szCs w:val="28"/>
          <w:rtl/>
          <w:lang w:bidi="ar-DZ"/>
        </w:rPr>
        <w:t>1987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بالاعتماد على رونالد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كواز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فيما يلي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نتطرق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النظرية من حيث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المفهوم،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الخصائص وتقييمها.  </w:t>
      </w:r>
    </w:p>
    <w:p w:rsidR="002813A1" w:rsidRPr="00800E9E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A224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 w:rsidRPr="00A224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A224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محتوى</w:t>
      </w:r>
      <w:proofErr w:type="gramEnd"/>
      <w:r w:rsidRPr="00A224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 حقوق </w:t>
      </w:r>
      <w:proofErr w:type="spellStart"/>
      <w:r w:rsidRPr="00A224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الملكية:</w:t>
      </w:r>
      <w:proofErr w:type="spellEnd"/>
      <w:r w:rsidRPr="00A224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تنطلق نظرية حقوق الملكية من فرضية أن المبادلات التي تتم بين الأفراد وغير الأفراد ما هي إلا تنازل متبادل عن الحقوق المتعلقة بالأشياء التي يتبادلونها ما يعني تبادل لحقوق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الملكية،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وعليه فالأفراد يملكون حقوق استعمال موارد.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تنطلق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النظرية من الملكية والملكية تعطي حقوقا ومنه فالنظرية تنطلق من حقوق الملكية. تهدف نظرية حقوق الملكية إلى إظهار أن المؤسسة الرأسمالية في اقتصاد السوق أفضل من غيرها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وإعادة نشر أفكار المدرسة الكلاسيكية الحديثة من جديد. </w:t>
      </w:r>
    </w:p>
    <w:p w:rsidR="002813A1" w:rsidRPr="004D0B5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0B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خصائص نظرية حقوق </w:t>
      </w:r>
      <w:proofErr w:type="spellStart"/>
      <w:r w:rsidRPr="004D0B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الملكية: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تتميز نظرية حقوق الملكية بجملة من الخصائص هي: </w:t>
      </w:r>
      <w:r w:rsidRPr="004D0B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D0B5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­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700C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قابلة</w:t>
      </w:r>
      <w:proofErr w:type="gramEnd"/>
      <w:r w:rsidRPr="00700C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للتنازل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أن حق الملكية لا يرتبط بشخص بعينه لذلك يمكن تبادل حقوق الملكية. </w:t>
      </w:r>
    </w:p>
    <w:p w:rsidR="002813A1" w:rsidRPr="00270C19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هناك ثلاث ممارسات لحقوق الملكية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الاستعمال ويعني استعمال صاحب الحق حقه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بنفسه،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الاستثمار ويستفيد صاحب الحق من نتائج استعمال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والتصرف أي يتصرف صاحب الحق في حقه كما يشاء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يتخلى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يبيعه أو يورثه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تعظيم المنفعة من خلال تمكين أصحاب الحقوق من ممارسة حقوقهم. </w:t>
      </w:r>
    </w:p>
    <w:p w:rsidR="00F17717" w:rsidRDefault="002813A1" w:rsidP="000F4D3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5A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315A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حقوق</w:t>
      </w:r>
      <w:proofErr w:type="gramEnd"/>
      <w:r w:rsidRPr="00315A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الملكية وأنواع </w:t>
      </w:r>
      <w:proofErr w:type="spellStart"/>
      <w:r w:rsidRPr="00315A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المؤسسات:</w:t>
      </w:r>
      <w:proofErr w:type="spellEnd"/>
      <w:r w:rsidRPr="00315A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فيما يلي نقدم مختلف المؤسسات القائمة وكيف توزع حقوق الملكية فيها ضمن الجدول الأتي: </w:t>
      </w:r>
    </w:p>
    <w:p w:rsidR="009455EB" w:rsidRPr="00E17276" w:rsidRDefault="002813A1" w:rsidP="009455EB">
      <w:pPr>
        <w:spacing w:after="0"/>
        <w:ind w:left="-284" w:right="-48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172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الجدول رقم </w:t>
      </w:r>
      <w:proofErr w:type="spellStart"/>
      <w:r w:rsidRPr="00E1727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01</w:t>
      </w:r>
      <w:r w:rsidRPr="00E172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E172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حقوق الملكية وأنواع المؤسسات</w:t>
      </w:r>
    </w:p>
    <w:tbl>
      <w:tblPr>
        <w:tblStyle w:val="Grilledutableau"/>
        <w:tblW w:w="15735" w:type="dxa"/>
        <w:tblInd w:w="-1168" w:type="dxa"/>
        <w:tblLook w:val="04A0"/>
      </w:tblPr>
      <w:tblGrid>
        <w:gridCol w:w="3403"/>
        <w:gridCol w:w="1984"/>
        <w:gridCol w:w="2693"/>
        <w:gridCol w:w="5103"/>
        <w:gridCol w:w="2552"/>
      </w:tblGrid>
      <w:tr w:rsidR="002813A1" w:rsidRPr="008243D8" w:rsidTr="009455EB">
        <w:tc>
          <w:tcPr>
            <w:tcW w:w="340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1F497D" w:themeColor="text2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خصائص وممارسات الحقوق</w:t>
            </w:r>
          </w:p>
        </w:tc>
        <w:tc>
          <w:tcPr>
            <w:tcW w:w="1984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1F497D" w:themeColor="text2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 xml:space="preserve"> فردية</w:t>
            </w:r>
          </w:p>
        </w:tc>
        <w:tc>
          <w:tcPr>
            <w:tcW w:w="269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1F497D" w:themeColor="text2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 xml:space="preserve"> خاصة (ناقصة</w:t>
            </w:r>
            <w:proofErr w:type="spellStart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5103" w:type="dxa"/>
          </w:tcPr>
          <w:p w:rsidR="002813A1" w:rsidRPr="008243D8" w:rsidRDefault="002813A1" w:rsidP="009455EB">
            <w:pPr>
              <w:tabs>
                <w:tab w:val="center" w:pos="176"/>
                <w:tab w:val="right" w:pos="2302"/>
              </w:tabs>
              <w:ind w:left="176" w:right="-483"/>
              <w:rPr>
                <w:rFonts w:ascii="Simplified Arabic" w:hAnsi="Simplified Arabic" w:cs="Simplified Arabic"/>
                <w:b/>
                <w:bCs/>
                <w:color w:val="1F497D" w:themeColor="text2"/>
                <w:sz w:val="32"/>
                <w:szCs w:val="32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 xml:space="preserve"> جماعية (الأشخاص</w:t>
            </w:r>
            <w:proofErr w:type="spellStart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2552" w:type="dxa"/>
          </w:tcPr>
          <w:p w:rsidR="002813A1" w:rsidRPr="008243D8" w:rsidRDefault="002813A1" w:rsidP="00357DF0">
            <w:pPr>
              <w:tabs>
                <w:tab w:val="center" w:pos="1551"/>
                <w:tab w:val="right" w:pos="3102"/>
              </w:tabs>
              <w:ind w:right="-483"/>
              <w:jc w:val="center"/>
              <w:rPr>
                <w:rFonts w:ascii="Simplified Arabic" w:hAnsi="Simplified Arabic" w:cs="Simplified Arabic"/>
                <w:color w:val="1F497D" w:themeColor="text2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ملكية جماعية (الدولة</w:t>
            </w:r>
            <w:proofErr w:type="spellStart"/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8243D8">
              <w:rPr>
                <w:rFonts w:ascii="Simplified Arabic" w:hAnsi="Simplified Arabic" w:cs="Simplified Arabic"/>
                <w:color w:val="1F497D" w:themeColor="text2"/>
                <w:sz w:val="28"/>
                <w:szCs w:val="28"/>
                <w:rtl/>
                <w:lang w:bidi="ar-DZ"/>
              </w:rPr>
              <w:tab/>
            </w:r>
            <w:r w:rsidRPr="008243D8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>مل</w:t>
            </w:r>
          </w:p>
        </w:tc>
      </w:tr>
      <w:tr w:rsidR="002813A1" w:rsidTr="009455EB">
        <w:tc>
          <w:tcPr>
            <w:tcW w:w="340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632423" w:themeColor="accent2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632423" w:themeColor="accent2" w:themeShade="80"/>
                <w:sz w:val="28"/>
                <w:szCs w:val="28"/>
                <w:rtl/>
                <w:lang w:bidi="ar-DZ"/>
              </w:rPr>
              <w:t>الاستعمال</w:t>
            </w:r>
            <w:proofErr w:type="gramEnd"/>
          </w:p>
        </w:tc>
        <w:tc>
          <w:tcPr>
            <w:tcW w:w="1984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C0000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269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4F6228" w:themeColor="accent3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>العامل</w:t>
            </w:r>
            <w:proofErr w:type="gramEnd"/>
          </w:p>
        </w:tc>
        <w:tc>
          <w:tcPr>
            <w:tcW w:w="5103" w:type="dxa"/>
          </w:tcPr>
          <w:p w:rsidR="002813A1" w:rsidRPr="008243D8" w:rsidRDefault="002813A1" w:rsidP="009455EB">
            <w:pPr>
              <w:tabs>
                <w:tab w:val="center" w:pos="176"/>
                <w:tab w:val="right" w:pos="2302"/>
              </w:tabs>
              <w:ind w:left="176" w:right="-483"/>
              <w:rPr>
                <w:rFonts w:ascii="Simplified Arabic" w:hAnsi="Simplified Arabic" w:cs="Simplified Arabic"/>
                <w:color w:val="7030A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2552" w:type="dxa"/>
          </w:tcPr>
          <w:p w:rsidR="002813A1" w:rsidRPr="009B555A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نعم</w:t>
            </w:r>
          </w:p>
        </w:tc>
      </w:tr>
      <w:tr w:rsidR="002813A1" w:rsidTr="009455EB">
        <w:tc>
          <w:tcPr>
            <w:tcW w:w="340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632423" w:themeColor="accent2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632423" w:themeColor="accent2" w:themeShade="80"/>
                <w:sz w:val="28"/>
                <w:szCs w:val="28"/>
                <w:rtl/>
                <w:lang w:bidi="ar-DZ"/>
              </w:rPr>
              <w:t>الاستثمار</w:t>
            </w:r>
            <w:proofErr w:type="gramEnd"/>
          </w:p>
        </w:tc>
        <w:tc>
          <w:tcPr>
            <w:tcW w:w="1984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C0000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269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4F6228" w:themeColor="accent3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>المالك</w:t>
            </w:r>
            <w:proofErr w:type="gramEnd"/>
          </w:p>
        </w:tc>
        <w:tc>
          <w:tcPr>
            <w:tcW w:w="5103" w:type="dxa"/>
          </w:tcPr>
          <w:p w:rsidR="002813A1" w:rsidRPr="008243D8" w:rsidRDefault="002813A1" w:rsidP="009455EB">
            <w:pPr>
              <w:tabs>
                <w:tab w:val="center" w:pos="176"/>
                <w:tab w:val="right" w:pos="2302"/>
              </w:tabs>
              <w:ind w:left="176" w:right="-483"/>
              <w:rPr>
                <w:rFonts w:ascii="Simplified Arabic" w:hAnsi="Simplified Arabic" w:cs="Simplified Arabic"/>
                <w:color w:val="7030A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>العامل</w:t>
            </w:r>
            <w:proofErr w:type="gramEnd"/>
          </w:p>
        </w:tc>
        <w:tc>
          <w:tcPr>
            <w:tcW w:w="2552" w:type="dxa"/>
          </w:tcPr>
          <w:p w:rsidR="002813A1" w:rsidRPr="0057134B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 w:rsidRPr="005713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المجتمع</w:t>
            </w:r>
            <w:proofErr w:type="gramEnd"/>
          </w:p>
        </w:tc>
      </w:tr>
      <w:tr w:rsidR="002813A1" w:rsidTr="009455EB">
        <w:tc>
          <w:tcPr>
            <w:tcW w:w="340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632423" w:themeColor="accent2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632423" w:themeColor="accent2" w:themeShade="80"/>
                <w:sz w:val="28"/>
                <w:szCs w:val="28"/>
                <w:rtl/>
                <w:lang w:bidi="ar-DZ"/>
              </w:rPr>
              <w:t>قابلية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632423" w:themeColor="accent2" w:themeShade="80"/>
                <w:sz w:val="28"/>
                <w:szCs w:val="28"/>
                <w:rtl/>
                <w:lang w:bidi="ar-DZ"/>
              </w:rPr>
              <w:t xml:space="preserve"> التنازل</w:t>
            </w:r>
          </w:p>
        </w:tc>
        <w:tc>
          <w:tcPr>
            <w:tcW w:w="1984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C0000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269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4F6228" w:themeColor="accent3" w:themeShade="8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 xml:space="preserve">بعض الحالات </w:t>
            </w:r>
            <w:proofErr w:type="gramStart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>مقيدة</w:t>
            </w:r>
            <w:proofErr w:type="gramEnd"/>
          </w:p>
        </w:tc>
        <w:tc>
          <w:tcPr>
            <w:tcW w:w="5103" w:type="dxa"/>
          </w:tcPr>
          <w:p w:rsidR="002813A1" w:rsidRPr="008243D8" w:rsidRDefault="002813A1" w:rsidP="009455EB">
            <w:pPr>
              <w:tabs>
                <w:tab w:val="center" w:pos="176"/>
                <w:tab w:val="right" w:pos="2302"/>
              </w:tabs>
              <w:ind w:left="176" w:right="-483"/>
              <w:rPr>
                <w:rFonts w:ascii="Simplified Arabic" w:hAnsi="Simplified Arabic" w:cs="Simplified Arabic"/>
                <w:color w:val="7030A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>لا</w:t>
            </w:r>
          </w:p>
        </w:tc>
        <w:tc>
          <w:tcPr>
            <w:tcW w:w="2552" w:type="dxa"/>
          </w:tcPr>
          <w:p w:rsidR="002813A1" w:rsidRPr="0057134B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5713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813A1" w:rsidTr="009455EB">
        <w:tc>
          <w:tcPr>
            <w:tcW w:w="340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632423" w:themeColor="accent2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632423" w:themeColor="accent2" w:themeShade="80"/>
                <w:sz w:val="28"/>
                <w:szCs w:val="28"/>
                <w:rtl/>
                <w:lang w:bidi="ar-DZ"/>
              </w:rPr>
              <w:t>التصرف</w:t>
            </w:r>
            <w:proofErr w:type="gramEnd"/>
          </w:p>
        </w:tc>
        <w:tc>
          <w:tcPr>
            <w:tcW w:w="1984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C0000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>نعم</w:t>
            </w:r>
          </w:p>
        </w:tc>
        <w:tc>
          <w:tcPr>
            <w:tcW w:w="269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4F6228" w:themeColor="accent3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>مشترك</w:t>
            </w:r>
            <w:proofErr w:type="gramEnd"/>
          </w:p>
        </w:tc>
        <w:tc>
          <w:tcPr>
            <w:tcW w:w="5103" w:type="dxa"/>
          </w:tcPr>
          <w:p w:rsidR="002813A1" w:rsidRPr="008243D8" w:rsidRDefault="002813A1" w:rsidP="009455EB">
            <w:pPr>
              <w:tabs>
                <w:tab w:val="center" w:pos="176"/>
                <w:tab w:val="right" w:pos="2302"/>
              </w:tabs>
              <w:ind w:left="176" w:right="-483"/>
              <w:rPr>
                <w:rFonts w:ascii="Simplified Arabic" w:hAnsi="Simplified Arabic" w:cs="Simplified Arabic"/>
                <w:color w:val="7030A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>العمال</w:t>
            </w:r>
            <w:proofErr w:type="gramEnd"/>
          </w:p>
        </w:tc>
        <w:tc>
          <w:tcPr>
            <w:tcW w:w="2552" w:type="dxa"/>
          </w:tcPr>
          <w:p w:rsidR="002813A1" w:rsidRPr="0057134B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5713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</w:t>
            </w:r>
          </w:p>
        </w:tc>
      </w:tr>
      <w:tr w:rsidR="002813A1" w:rsidTr="009455EB">
        <w:tc>
          <w:tcPr>
            <w:tcW w:w="340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632423" w:themeColor="accent2" w:themeShade="8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632423" w:themeColor="accent2" w:themeShade="80"/>
                <w:sz w:val="28"/>
                <w:szCs w:val="28"/>
                <w:rtl/>
                <w:lang w:bidi="ar-DZ"/>
              </w:rPr>
              <w:t>نوع الحقوق</w:t>
            </w:r>
          </w:p>
        </w:tc>
        <w:tc>
          <w:tcPr>
            <w:tcW w:w="1984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C0000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 xml:space="preserve"> خاصة</w:t>
            </w:r>
          </w:p>
        </w:tc>
        <w:tc>
          <w:tcPr>
            <w:tcW w:w="269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4F6228" w:themeColor="accent3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 xml:space="preserve"> خاصة ناقصة</w:t>
            </w:r>
          </w:p>
        </w:tc>
        <w:tc>
          <w:tcPr>
            <w:tcW w:w="5103" w:type="dxa"/>
          </w:tcPr>
          <w:p w:rsidR="002813A1" w:rsidRPr="008243D8" w:rsidRDefault="002813A1" w:rsidP="009455EB">
            <w:pPr>
              <w:tabs>
                <w:tab w:val="center" w:pos="176"/>
                <w:tab w:val="right" w:pos="2302"/>
              </w:tabs>
              <w:ind w:left="176" w:right="-483"/>
              <w:rPr>
                <w:rFonts w:ascii="Simplified Arabic" w:hAnsi="Simplified Arabic" w:cs="Simplified Arabic"/>
                <w:color w:val="7030A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 xml:space="preserve"> جماعة</w:t>
            </w:r>
          </w:p>
        </w:tc>
        <w:tc>
          <w:tcPr>
            <w:tcW w:w="2552" w:type="dxa"/>
          </w:tcPr>
          <w:p w:rsidR="002813A1" w:rsidRPr="0057134B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 w:rsidRPr="005713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5713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عامة</w:t>
            </w:r>
          </w:p>
        </w:tc>
      </w:tr>
      <w:tr w:rsidR="002813A1" w:rsidTr="009455EB">
        <w:tc>
          <w:tcPr>
            <w:tcW w:w="340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632423" w:themeColor="accent2" w:themeShade="80"/>
                <w:sz w:val="28"/>
                <w:szCs w:val="28"/>
                <w:lang w:bidi="ar-DZ"/>
              </w:rPr>
            </w:pPr>
            <w:r w:rsidRPr="008243D8">
              <w:rPr>
                <w:rFonts w:ascii="Simplified Arabic" w:hAnsi="Simplified Arabic" w:cs="Simplified Arabic" w:hint="cs"/>
                <w:color w:val="632423" w:themeColor="accent2" w:themeShade="80"/>
                <w:sz w:val="28"/>
                <w:szCs w:val="28"/>
                <w:rtl/>
                <w:lang w:bidi="ar-DZ"/>
              </w:rPr>
              <w:t>نوع المنظمة</w:t>
            </w:r>
          </w:p>
        </w:tc>
        <w:tc>
          <w:tcPr>
            <w:tcW w:w="1984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C0000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>مؤسسة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C00000"/>
                <w:sz w:val="28"/>
                <w:szCs w:val="28"/>
                <w:rtl/>
                <w:lang w:bidi="ar-DZ"/>
              </w:rPr>
              <w:t xml:space="preserve"> رأسمالية</w:t>
            </w:r>
          </w:p>
        </w:tc>
        <w:tc>
          <w:tcPr>
            <w:tcW w:w="2693" w:type="dxa"/>
          </w:tcPr>
          <w:p w:rsidR="002813A1" w:rsidRPr="008243D8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color w:val="4F6228" w:themeColor="accent3" w:themeShade="8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>مؤسسة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4F6228" w:themeColor="accent3" w:themeShade="80"/>
                <w:sz w:val="28"/>
                <w:szCs w:val="28"/>
                <w:rtl/>
                <w:lang w:bidi="ar-DZ"/>
              </w:rPr>
              <w:t xml:space="preserve"> إدارية</w:t>
            </w:r>
          </w:p>
        </w:tc>
        <w:tc>
          <w:tcPr>
            <w:tcW w:w="5103" w:type="dxa"/>
          </w:tcPr>
          <w:p w:rsidR="002813A1" w:rsidRPr="008243D8" w:rsidRDefault="002813A1" w:rsidP="009455EB">
            <w:pPr>
              <w:tabs>
                <w:tab w:val="center" w:pos="176"/>
                <w:tab w:val="right" w:pos="2302"/>
              </w:tabs>
              <w:ind w:left="176" w:right="-483"/>
              <w:rPr>
                <w:rFonts w:ascii="Simplified Arabic" w:hAnsi="Simplified Arabic" w:cs="Simplified Arabic"/>
                <w:color w:val="7030A0"/>
                <w:sz w:val="28"/>
                <w:szCs w:val="28"/>
                <w:lang w:bidi="ar-DZ"/>
              </w:rPr>
            </w:pPr>
            <w:proofErr w:type="gramStart"/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>مؤسسة</w:t>
            </w:r>
            <w:proofErr w:type="gramEnd"/>
            <w:r w:rsidRPr="008243D8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DZ"/>
              </w:rPr>
              <w:t xml:space="preserve"> تعاونية</w:t>
            </w:r>
          </w:p>
        </w:tc>
        <w:tc>
          <w:tcPr>
            <w:tcW w:w="2552" w:type="dxa"/>
          </w:tcPr>
          <w:p w:rsidR="002813A1" w:rsidRPr="0057134B" w:rsidRDefault="002813A1" w:rsidP="00357DF0">
            <w:pPr>
              <w:ind w:right="-483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 w:rsidRPr="005713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مؤسسة</w:t>
            </w:r>
            <w:proofErr w:type="gramEnd"/>
            <w:r w:rsidRPr="005713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حكومية</w:t>
            </w:r>
          </w:p>
        </w:tc>
      </w:tr>
    </w:tbl>
    <w:p w:rsidR="002813A1" w:rsidRPr="005333C4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</w:t>
      </w:r>
      <w:proofErr w:type="spellStart"/>
      <w:r w:rsidRPr="005333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المصدر:</w:t>
      </w:r>
      <w:proofErr w:type="spellEnd"/>
      <w:r w:rsidRPr="005333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القحطاني،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مرجع سبق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29</w:t>
      </w:r>
    </w:p>
    <w:p w:rsidR="002813A1" w:rsidRPr="001A5539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4C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نستنتج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الجدول أعلاه أنه </w:t>
      </w:r>
      <w:r w:rsidRPr="00FF4C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يمكن التعرف على نوع المؤسسة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حقوق الملكية باعتبارها أداة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للتحليل،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أن الملكية الخاصة هي النوع الأكمل لأن فيها كل خصائص الحقوق وتسمح كل ممارساتها.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5E28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تقييم</w:t>
      </w:r>
      <w:proofErr w:type="gramEnd"/>
      <w:r w:rsidRPr="005E28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 حقوق الملكية: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يمكن تقييم نظرية الحقوق في النقاط الآتية: </w:t>
      </w:r>
    </w:p>
    <w:p w:rsidR="002813A1" w:rsidRPr="005E28B5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تعطي تعريفا واضحا للحقوق. </w:t>
      </w:r>
    </w:p>
    <w:p w:rsidR="000F4D30" w:rsidRDefault="00814144" w:rsidP="000F4D30">
      <w:pPr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813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تعترف بحدود حقوق الملكية.</w:t>
      </w:r>
    </w:p>
    <w:p w:rsidR="002813A1" w:rsidRPr="00D832D6" w:rsidRDefault="002813A1" w:rsidP="00D832D6">
      <w:pPr>
        <w:spacing w:before="240"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نظرية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الوكالة:</w:t>
      </w:r>
      <w:proofErr w:type="spellEnd"/>
      <w:r w:rsidRPr="00A76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76867" w:rsidRPr="002430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 نشأت نظرية الوكالة</w:t>
      </w:r>
      <w:r w:rsidR="00A76867" w:rsidRPr="00BD4F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D4F84" w:rsidRPr="00BD4F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كمحاولة لحل مشكلة تعارض </w:t>
      </w:r>
      <w:proofErr w:type="spellStart"/>
      <w:r w:rsidR="00BD4F84" w:rsidRPr="00BD4F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المصالح</w:t>
      </w:r>
      <w:r w:rsidR="00F11F7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F11F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وذلك من خلال نظرتها إلى المنظمة على أنها سلسلة من التعاقدات الاختيارية بين الأطراف المختلفة في </w:t>
      </w:r>
      <w:proofErr w:type="spellStart"/>
      <w:r w:rsidR="00F11F7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المنظمة،</w:t>
      </w:r>
      <w:proofErr w:type="spellEnd"/>
      <w:r w:rsidR="00F11F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شانها الحد من سلوك الإدارة بتفضيل مصالحها الشخصية على مصالح الأطراف الأخرى. </w:t>
      </w:r>
      <w:r w:rsidR="00B80A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تركز نظرية الوكالة في العلاقات </w:t>
      </w:r>
      <w:proofErr w:type="spellStart"/>
      <w:r w:rsidR="00B80A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التعاقدية،</w:t>
      </w:r>
      <w:proofErr w:type="spellEnd"/>
      <w:r w:rsidR="00B80A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832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تمت صياغتها</w:t>
      </w:r>
      <w:r w:rsidR="00B80A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832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 السبعينيات من طرف جونسون وماكلين.</w:t>
      </w:r>
    </w:p>
    <w:p w:rsidR="002813A1" w:rsidRDefault="002813A1" w:rsidP="00A2048E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6830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­</w:t>
      </w:r>
      <w:proofErr w:type="spellEnd"/>
      <w:r w:rsidRPr="006830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830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حتوى</w:t>
      </w:r>
      <w:proofErr w:type="gramEnd"/>
      <w:r w:rsidRPr="006830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 </w:t>
      </w:r>
      <w:proofErr w:type="spellStart"/>
      <w:r w:rsidRPr="006830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الوكالة: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تبحث نظرية الوكالة في إشكالية الانتهازية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 النظرية هناك مالك أي صاحب الحق يكلف غيره من أجل إدارة هذه ال</w:t>
      </w:r>
      <w:r w:rsidR="004320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قوق.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وتهدف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نظرية الوكالة إلى تحقيق الانتفاع للمالك من حقوق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ملكيته،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نتيجة لعدة أسباب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مؤهل للقيام بالإدارة بنفسه أو لمانع ما لا يستطيع الإدارة أو لتشتت الملكية. يرجع أصل نظرية الوكالة إلى فصل الملكية عن الإدارة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لبارل</w:t>
      </w:r>
      <w:proofErr w:type="spellEnd"/>
      <w:r w:rsidR="00A2048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أدولف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A2048E">
        <w:rPr>
          <w:rFonts w:ascii="Simplified Arabic" w:hAnsi="Simplified Arabic" w:cs="Simplified Arabic"/>
          <w:sz w:val="28"/>
          <w:szCs w:val="28"/>
          <w:rtl/>
          <w:lang w:bidi="ar-DZ"/>
        </w:rPr>
        <w:t>1932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ومينز</w:t>
      </w:r>
      <w:proofErr w:type="spellEnd"/>
      <w:r w:rsidR="00A2048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A204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جاردينر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A2048E">
        <w:rPr>
          <w:rFonts w:ascii="Simplified Arabic" w:hAnsi="Simplified Arabic" w:cs="Simplified Arabic"/>
          <w:sz w:val="28"/>
          <w:szCs w:val="28"/>
          <w:rtl/>
          <w:lang w:bidi="ar-DZ"/>
        </w:rPr>
        <w:t>1932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أهم مؤسسي نظرية الوكالة وليام مكلين(</w:t>
      </w:r>
      <w:r w:rsidR="00D040C8">
        <w:rPr>
          <w:rFonts w:ascii="Simplified Arabic" w:hAnsi="Simplified Arabic" w:cs="Simplified Arabic"/>
          <w:sz w:val="28"/>
          <w:szCs w:val="28"/>
          <w:rtl/>
          <w:lang w:bidi="ar-DZ"/>
        </w:rPr>
        <w:t>1976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ومايكل جونسون(</w:t>
      </w:r>
      <w:r w:rsidR="00D040C8">
        <w:rPr>
          <w:rFonts w:ascii="Simplified Arabic" w:hAnsi="Simplified Arabic" w:cs="Simplified Arabic"/>
          <w:sz w:val="28"/>
          <w:szCs w:val="28"/>
          <w:rtl/>
          <w:lang w:bidi="ar-DZ"/>
        </w:rPr>
        <w:t>1976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813A1" w:rsidRPr="006830F4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خصائص نظرية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الوكالة: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تتميز نظرية الوكالة بالخصائص الآتية: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تفويض سلطة اتخاذ القرار من الموكل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المالك صاحب الحقوق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الوكيل لإنجاز مهام معينة</w:t>
      </w:r>
      <w:r w:rsidR="00F177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التصرف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ملكية المالك. </w:t>
      </w:r>
    </w:p>
    <w:p w:rsidR="002813A1" w:rsidRPr="00A621B2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صاحب الملكية يسمى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موكل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والمكلف يسمى وكيل.   </w:t>
      </w:r>
      <w:r>
        <w:rPr>
          <w:rFonts w:ascii="Simplified Arabic" w:hAnsi="Simplified Arabic" w:cs="Simplified Arabic"/>
          <w:sz w:val="28"/>
          <w:szCs w:val="28"/>
          <w:lang w:bidi="ar-DZ"/>
        </w:rPr>
        <w:t>*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67476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FF48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proofErr w:type="gramEnd"/>
      <w:r w:rsidRPr="00FF48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تناظر المعلومات بسبب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F177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 من الوكيل والموكل ليس لهما نفس المعلومات.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674760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اختلاف في المصالح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الأطراف،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فيسعى الملاك إلى زيادة الربح على المدى القصير في حين يهدف المدير أو المسير إلى تحقيق مكانة تنافسية للمؤسسة على المدى البعيد ما يخلق نزاع بين الأطراف.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إبرام عقد يقوم من خلاله الوكيل بخدمة مصلحة الموكل وفق بنود من اتفاق ما يقلل النزاع بين الأطراف.  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هناك تكاليف لعقد الوكالة تتحملها المؤسسة بغية حث الوكيل لخدمة مصلحة الملاك وتشمل الأجور وتكاليف الرقابة وتكاليف الإجراءات القانونية وغيرها من التكاليف.</w:t>
      </w:r>
    </w:p>
    <w:p w:rsidR="002813A1" w:rsidRDefault="002813A1" w:rsidP="002813A1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F1F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F1F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تقييم</w:t>
      </w:r>
      <w:proofErr w:type="gramEnd"/>
      <w:r w:rsidRPr="004F1F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 الوكالة: </w:t>
      </w:r>
      <w:r w:rsidRPr="004F1F6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­</w:t>
      </w:r>
    </w:p>
    <w:p w:rsidR="00077CFC" w:rsidRDefault="00EB5E86" w:rsidP="00B6736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يمكن تقييم نظرية الوكالة في النقاط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الأتية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EB5E86" w:rsidRDefault="00233563" w:rsidP="00B6736D">
      <w:pPr>
        <w:spacing w:after="0"/>
        <w:ind w:right="-52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D070CC">
        <w:rPr>
          <w:rFonts w:ascii="Simplified Arabic" w:hAnsi="Simplified Arabic" w:cs="Simplified Arabic" w:hint="cs"/>
          <w:sz w:val="28"/>
          <w:szCs w:val="28"/>
          <w:rtl/>
        </w:rPr>
        <w:t>النظرية</w:t>
      </w:r>
      <w:proofErr w:type="gramEnd"/>
      <w:r w:rsidR="00D070CC">
        <w:rPr>
          <w:rFonts w:ascii="Simplified Arabic" w:hAnsi="Simplified Arabic" w:cs="Simplified Arabic" w:hint="cs"/>
          <w:sz w:val="28"/>
          <w:szCs w:val="28"/>
          <w:rtl/>
        </w:rPr>
        <w:t xml:space="preserve"> لا تأخذ بعين الاعتبار </w:t>
      </w:r>
      <w:r w:rsidR="00B835C4">
        <w:rPr>
          <w:rFonts w:ascii="Simplified Arabic" w:hAnsi="Simplified Arabic" w:cs="Simplified Arabic" w:hint="cs"/>
          <w:sz w:val="28"/>
          <w:szCs w:val="28"/>
          <w:rtl/>
        </w:rPr>
        <w:t xml:space="preserve">مختلف المشاكل التنظيمية الموجودة </w:t>
      </w:r>
      <w:r w:rsidR="00D070CC">
        <w:rPr>
          <w:rFonts w:ascii="Simplified Arabic" w:hAnsi="Simplified Arabic" w:cs="Simplified Arabic" w:hint="cs"/>
          <w:sz w:val="28"/>
          <w:szCs w:val="28"/>
          <w:rtl/>
        </w:rPr>
        <w:t xml:space="preserve">على مستوى المؤسسة. </w:t>
      </w:r>
    </w:p>
    <w:p w:rsidR="00233563" w:rsidRDefault="00233563" w:rsidP="00B6736D">
      <w:pPr>
        <w:spacing w:after="0"/>
        <w:ind w:right="-52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="00D070C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D070CC">
        <w:rPr>
          <w:rFonts w:ascii="Simplified Arabic" w:hAnsi="Simplified Arabic" w:cs="Simplified Arabic" w:hint="cs"/>
          <w:sz w:val="28"/>
          <w:szCs w:val="28"/>
          <w:rtl/>
        </w:rPr>
        <w:t>لا</w:t>
      </w:r>
      <w:proofErr w:type="gramEnd"/>
      <w:r w:rsidR="00D070CC">
        <w:rPr>
          <w:rFonts w:ascii="Simplified Arabic" w:hAnsi="Simplified Arabic" w:cs="Simplified Arabic" w:hint="cs"/>
          <w:sz w:val="28"/>
          <w:szCs w:val="28"/>
          <w:rtl/>
        </w:rPr>
        <w:t xml:space="preserve"> يمكن اعتبار التعويض كآلية لقيادة </w:t>
      </w:r>
      <w:r w:rsidR="00B6736D">
        <w:rPr>
          <w:rFonts w:ascii="Simplified Arabic" w:hAnsi="Simplified Arabic" w:cs="Simplified Arabic" w:hint="cs"/>
          <w:sz w:val="28"/>
          <w:szCs w:val="28"/>
          <w:rtl/>
        </w:rPr>
        <w:t>أو إدارة أداء المدير</w:t>
      </w:r>
      <w:r w:rsidR="00D070CC">
        <w:rPr>
          <w:rFonts w:ascii="Simplified Arabic" w:hAnsi="Simplified Arabic" w:cs="Simplified Arabic" w:hint="cs"/>
          <w:sz w:val="28"/>
          <w:szCs w:val="28"/>
          <w:rtl/>
        </w:rPr>
        <w:t xml:space="preserve"> مرضي</w:t>
      </w:r>
      <w:r w:rsidR="00B6736D">
        <w:rPr>
          <w:rFonts w:ascii="Simplified Arabic" w:hAnsi="Simplified Arabic" w:cs="Simplified Arabic" w:hint="cs"/>
          <w:sz w:val="28"/>
          <w:szCs w:val="28"/>
          <w:rtl/>
        </w:rPr>
        <w:t xml:space="preserve"> تماما</w:t>
      </w:r>
      <w:r w:rsidR="00D070CC">
        <w:rPr>
          <w:rFonts w:ascii="Simplified Arabic" w:hAnsi="Simplified Arabic" w:cs="Simplified Arabic" w:hint="cs"/>
          <w:sz w:val="28"/>
          <w:szCs w:val="28"/>
          <w:rtl/>
        </w:rPr>
        <w:t xml:space="preserve"> كما تم تص</w:t>
      </w:r>
      <w:r w:rsidR="00B6736D">
        <w:rPr>
          <w:rFonts w:ascii="Simplified Arabic" w:hAnsi="Simplified Arabic" w:cs="Simplified Arabic" w:hint="cs"/>
          <w:sz w:val="28"/>
          <w:szCs w:val="28"/>
          <w:rtl/>
        </w:rPr>
        <w:t>ميمه</w:t>
      </w:r>
      <w:r w:rsidR="00D070CC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233563" w:rsidRPr="00EB5E86" w:rsidRDefault="00233563" w:rsidP="00233563">
      <w:pPr>
        <w:ind w:right="-523"/>
        <w:jc w:val="right"/>
        <w:rPr>
          <w:rFonts w:ascii="Simplified Arabic" w:hAnsi="Simplified Arabic" w:cs="Simplified Arabic"/>
          <w:sz w:val="28"/>
          <w:szCs w:val="28"/>
        </w:rPr>
      </w:pPr>
    </w:p>
    <w:sectPr w:rsidR="00233563" w:rsidRPr="00EB5E86" w:rsidSect="00812C65">
      <w:pgSz w:w="11906" w:h="16838"/>
      <w:pgMar w:top="1440" w:right="170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813A1"/>
    <w:rsid w:val="00021A82"/>
    <w:rsid w:val="00077CFC"/>
    <w:rsid w:val="00097C24"/>
    <w:rsid w:val="000E4ABF"/>
    <w:rsid w:val="000F4D30"/>
    <w:rsid w:val="001B1CDF"/>
    <w:rsid w:val="00201735"/>
    <w:rsid w:val="00233563"/>
    <w:rsid w:val="002430A1"/>
    <w:rsid w:val="002813A1"/>
    <w:rsid w:val="002B4C9E"/>
    <w:rsid w:val="003455F9"/>
    <w:rsid w:val="003717F7"/>
    <w:rsid w:val="004320C3"/>
    <w:rsid w:val="00434128"/>
    <w:rsid w:val="00496744"/>
    <w:rsid w:val="0050215B"/>
    <w:rsid w:val="00540573"/>
    <w:rsid w:val="005656CF"/>
    <w:rsid w:val="005B4C1D"/>
    <w:rsid w:val="005D2FE2"/>
    <w:rsid w:val="005F64B8"/>
    <w:rsid w:val="00636D47"/>
    <w:rsid w:val="006A33E7"/>
    <w:rsid w:val="006C1FE2"/>
    <w:rsid w:val="007125E9"/>
    <w:rsid w:val="00812C65"/>
    <w:rsid w:val="00814144"/>
    <w:rsid w:val="00824E15"/>
    <w:rsid w:val="00825BE9"/>
    <w:rsid w:val="00937CFE"/>
    <w:rsid w:val="009455EB"/>
    <w:rsid w:val="00972764"/>
    <w:rsid w:val="00A02E94"/>
    <w:rsid w:val="00A2048E"/>
    <w:rsid w:val="00A76867"/>
    <w:rsid w:val="00B51D3C"/>
    <w:rsid w:val="00B6736D"/>
    <w:rsid w:val="00B80AEB"/>
    <w:rsid w:val="00B835C4"/>
    <w:rsid w:val="00BD4F84"/>
    <w:rsid w:val="00C10CE2"/>
    <w:rsid w:val="00C411A4"/>
    <w:rsid w:val="00CC2687"/>
    <w:rsid w:val="00CD6BA0"/>
    <w:rsid w:val="00D040C8"/>
    <w:rsid w:val="00D070CC"/>
    <w:rsid w:val="00D32282"/>
    <w:rsid w:val="00D832D6"/>
    <w:rsid w:val="00DA26EE"/>
    <w:rsid w:val="00DB1143"/>
    <w:rsid w:val="00DB5FC3"/>
    <w:rsid w:val="00E66AC1"/>
    <w:rsid w:val="00E66B1F"/>
    <w:rsid w:val="00E8174B"/>
    <w:rsid w:val="00EB5E86"/>
    <w:rsid w:val="00EB6A3C"/>
    <w:rsid w:val="00ED2E29"/>
    <w:rsid w:val="00F11F7F"/>
    <w:rsid w:val="00F17717"/>
    <w:rsid w:val="00FC6968"/>
    <w:rsid w:val="00FE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1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712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125E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12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1282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70</cp:revision>
  <dcterms:created xsi:type="dcterms:W3CDTF">2024-04-27T18:46:00Z</dcterms:created>
  <dcterms:modified xsi:type="dcterms:W3CDTF">2024-05-07T22:03:00Z</dcterms:modified>
</cp:coreProperties>
</file>