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0AE" w:rsidRDefault="00ED20AE" w:rsidP="00DC71D1">
      <w:pPr>
        <w:jc w:val="center"/>
        <w:rPr>
          <w:rtl/>
        </w:rPr>
      </w:pPr>
      <w:r>
        <w:rPr>
          <w:rFonts w:hint="cs"/>
          <w:rtl/>
        </w:rPr>
        <w:t xml:space="preserve">الخريطة </w:t>
      </w:r>
      <w:proofErr w:type="spellStart"/>
      <w:r>
        <w:rPr>
          <w:rFonts w:hint="cs"/>
          <w:rtl/>
        </w:rPr>
        <w:t>الذهنية:</w:t>
      </w:r>
      <w:proofErr w:type="spellEnd"/>
      <w:r w:rsidR="00DC71D1">
        <w:rPr>
          <w:rFonts w:hint="cs"/>
          <w:rtl/>
        </w:rPr>
        <w:t xml:space="preserve"> مقياس نظرية التكامل والإنذماج</w:t>
      </w:r>
    </w:p>
    <w:p w:rsidR="00ED20AE" w:rsidRDefault="000A5971">
      <w:pPr>
        <w:rPr>
          <w:rtl/>
        </w:rPr>
      </w:pPr>
      <w:r>
        <w:rPr>
          <w:noProof/>
          <w:rtl/>
          <w:lang w:eastAsia="fr-FR"/>
        </w:rPr>
        <w:pict>
          <v:rect id="_x0000_s1032" style="position:absolute;margin-left:108.5pt;margin-top:3.25pt;width:97.95pt;height:30.45pt;z-index:251664384">
            <v:textbox>
              <w:txbxContent>
                <w:p w:rsidR="00ED20AE" w:rsidRDefault="00ED20AE">
                  <w:r>
                    <w:rPr>
                      <w:rFonts w:hint="cs"/>
                      <w:rtl/>
                    </w:rPr>
                    <w:t xml:space="preserve">المدرسة الدستورية </w:t>
                  </w:r>
                </w:p>
              </w:txbxContent>
            </v:textbox>
          </v:rect>
        </w:pict>
      </w:r>
    </w:p>
    <w:p w:rsidR="00ED20AE" w:rsidRDefault="000A5971">
      <w:pPr>
        <w:rPr>
          <w:rtl/>
        </w:rPr>
      </w:pPr>
      <w:r>
        <w:rPr>
          <w:noProof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58.45pt;margin-top:9.15pt;width:.65pt;height:37pt;flip:y;z-index:251663360" o:connectortype="straight">
            <v:stroke endarrow="block"/>
          </v:shape>
        </w:pict>
      </w:r>
    </w:p>
    <w:p w:rsidR="00ED20AE" w:rsidRDefault="000A5971">
      <w:pPr>
        <w:rPr>
          <w:rtl/>
        </w:rPr>
      </w:pPr>
      <w:r>
        <w:rPr>
          <w:noProof/>
          <w:rtl/>
          <w:lang w:eastAsia="fr-FR"/>
        </w:rPr>
        <w:pict>
          <v:rect id="_x0000_s1026" style="position:absolute;margin-left:108.5pt;margin-top:21.6pt;width:105.7pt;height:38.25pt;z-index:251658240">
            <v:textbox>
              <w:txbxContent>
                <w:p w:rsidR="00ED20AE" w:rsidRDefault="00ED20AE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نظريات التكامل </w:t>
                  </w:r>
                  <w:proofErr w:type="spellStart"/>
                  <w:r>
                    <w:rPr>
                      <w:rFonts w:hint="cs"/>
                      <w:rtl/>
                    </w:rPr>
                    <w:t>والإنذماج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</w:t>
                  </w:r>
                </w:p>
                <w:p w:rsidR="00ED20AE" w:rsidRDefault="00ED20AE"/>
              </w:txbxContent>
            </v:textbox>
          </v:rect>
        </w:pict>
      </w:r>
      <w:r>
        <w:rPr>
          <w:noProof/>
          <w:rtl/>
          <w:lang w:eastAsia="fr-FR"/>
        </w:rPr>
        <w:pict>
          <v:rect id="_x0000_s1030" style="position:absolute;margin-left:272.6pt;margin-top:21.6pt;width:93.4pt;height:38.25pt;z-index:251662336">
            <v:textbox>
              <w:txbxContent>
                <w:p w:rsidR="00ED20AE" w:rsidRDefault="00ED20AE">
                  <w:r>
                    <w:rPr>
                      <w:rFonts w:hint="cs"/>
                      <w:rtl/>
                    </w:rPr>
                    <w:t xml:space="preserve">مفهوم التكامل </w:t>
                  </w:r>
                  <w:proofErr w:type="spellStart"/>
                  <w:r>
                    <w:rPr>
                      <w:rFonts w:hint="cs"/>
                      <w:rtl/>
                    </w:rPr>
                    <w:t>والإنذماج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</w:t>
                  </w:r>
                </w:p>
              </w:txbxContent>
            </v:textbox>
          </v:rect>
        </w:pict>
      </w:r>
    </w:p>
    <w:p w:rsidR="00ED20AE" w:rsidRDefault="000A5971">
      <w:pPr>
        <w:rPr>
          <w:rtl/>
        </w:rPr>
      </w:pPr>
      <w:r>
        <w:rPr>
          <w:noProof/>
          <w:rtl/>
          <w:lang w:eastAsia="fr-FR"/>
        </w:rPr>
        <w:pict>
          <v:rect id="_x0000_s1029" style="position:absolute;margin-left:-31.6pt;margin-top:2.25pt;width:86.25pt;height:33.05pt;z-index:251661312">
            <v:textbox>
              <w:txbxContent>
                <w:p w:rsidR="00ED20AE" w:rsidRDefault="00ED20AE">
                  <w:proofErr w:type="gramStart"/>
                  <w:r>
                    <w:rPr>
                      <w:rFonts w:hint="cs"/>
                      <w:rtl/>
                    </w:rPr>
                    <w:t>النظرية</w:t>
                  </w:r>
                  <w:proofErr w:type="gramEnd"/>
                  <w:r>
                    <w:rPr>
                      <w:rFonts w:hint="cs"/>
                      <w:rtl/>
                    </w:rPr>
                    <w:t xml:space="preserve"> الوظيفية </w:t>
                  </w:r>
                </w:p>
              </w:txbxContent>
            </v:textbox>
          </v:rect>
        </w:pict>
      </w:r>
      <w:r>
        <w:rPr>
          <w:noProof/>
          <w:rtl/>
          <w:lang w:eastAsia="fr-FR"/>
        </w:rPr>
        <w:pict>
          <v:shape id="_x0000_s1028" type="#_x0000_t32" style="position:absolute;margin-left:62.45pt;margin-top:17.15pt;width:46.05pt;height:0;flip:x;z-index:251660288" o:connectortype="straight">
            <v:stroke endarrow="block"/>
          </v:shape>
        </w:pict>
      </w:r>
      <w:r>
        <w:rPr>
          <w:noProof/>
          <w:rtl/>
          <w:lang w:eastAsia="fr-FR"/>
        </w:rPr>
        <w:pict>
          <v:shape id="_x0000_s1027" type="#_x0000_t32" style="position:absolute;margin-left:214.2pt;margin-top:17.15pt;width:51.25pt;height:0;z-index:251659264" o:connectortype="straight">
            <v:stroke endarrow="block"/>
          </v:shape>
        </w:pict>
      </w:r>
    </w:p>
    <w:p w:rsidR="001244B6" w:rsidRDefault="000A5971">
      <w:pPr>
        <w:rPr>
          <w:b/>
          <w:bCs/>
          <w:rtl/>
        </w:rPr>
      </w:pPr>
      <w:r w:rsidRPr="000A5971">
        <w:rPr>
          <w:noProof/>
          <w:rtl/>
          <w:lang w:eastAsia="fr-FR"/>
        </w:rPr>
        <w:pict>
          <v:rect id="_x0000_s1034" style="position:absolute;margin-left:108.5pt;margin-top:52.9pt;width:94.7pt;height:32.45pt;z-index:251666432">
            <v:textbox>
              <w:txbxContent>
                <w:p w:rsidR="00ED20AE" w:rsidRDefault="00ED20AE">
                  <w:r>
                    <w:rPr>
                      <w:rFonts w:hint="cs"/>
                      <w:rtl/>
                    </w:rPr>
                    <w:t xml:space="preserve">النظرية الليبرالية المؤسساتية الجديدة </w:t>
                  </w:r>
                </w:p>
              </w:txbxContent>
            </v:textbox>
          </v:rect>
        </w:pict>
      </w:r>
      <w:r w:rsidRPr="000A5971">
        <w:rPr>
          <w:noProof/>
          <w:rtl/>
          <w:lang w:eastAsia="fr-FR"/>
        </w:rPr>
        <w:pict>
          <v:shape id="_x0000_s1033" type="#_x0000_t32" style="position:absolute;margin-left:158.45pt;margin-top:10.75pt;width:1.3pt;height:42.15pt;flip:x;z-index:251665408" o:connectortype="straight">
            <v:stroke endarrow="block"/>
          </v:shape>
        </w:pict>
      </w:r>
      <w:r w:rsidR="00ED20AE">
        <w:rPr>
          <w:rFonts w:hint="cs"/>
          <w:rtl/>
        </w:rPr>
        <w:t xml:space="preserve">                                       </w:t>
      </w:r>
    </w:p>
    <w:p w:rsidR="001244B6" w:rsidRPr="001244B6" w:rsidRDefault="001244B6" w:rsidP="001244B6">
      <w:pPr>
        <w:rPr>
          <w:rtl/>
        </w:rPr>
      </w:pPr>
    </w:p>
    <w:p w:rsidR="001244B6" w:rsidRPr="001244B6" w:rsidRDefault="001244B6" w:rsidP="001244B6">
      <w:pPr>
        <w:rPr>
          <w:rtl/>
        </w:rPr>
      </w:pPr>
    </w:p>
    <w:p w:rsidR="001244B6" w:rsidRDefault="001244B6" w:rsidP="001244B6">
      <w:pPr>
        <w:rPr>
          <w:rtl/>
        </w:rPr>
      </w:pPr>
    </w:p>
    <w:p w:rsidR="00ED20AE" w:rsidRDefault="001244B6" w:rsidP="001244B6">
      <w:pPr>
        <w:tabs>
          <w:tab w:val="left" w:pos="3075"/>
        </w:tabs>
        <w:rPr>
          <w:rtl/>
        </w:rPr>
      </w:pPr>
      <w:r>
        <w:tab/>
      </w:r>
      <w:r>
        <w:rPr>
          <w:rFonts w:hint="cs"/>
          <w:rtl/>
        </w:rPr>
        <w:t xml:space="preserve">الهدف من دراسة السياسية الخارجية المقارنة: </w:t>
      </w:r>
    </w:p>
    <w:p w:rsidR="001244B6" w:rsidRDefault="000A5971" w:rsidP="001244B6">
      <w:pPr>
        <w:tabs>
          <w:tab w:val="left" w:pos="3075"/>
        </w:tabs>
        <w:rPr>
          <w:rtl/>
        </w:rPr>
      </w:pPr>
      <w:r>
        <w:rPr>
          <w:noProof/>
          <w:rtl/>
          <w:lang w:eastAsia="fr-FR"/>
        </w:rPr>
        <w:pict>
          <v:rect id="_x0000_s1041" style="position:absolute;margin-left:137.7pt;margin-top:11.9pt;width:94.05pt;height:33.1pt;z-index:251673600">
            <v:textbox>
              <w:txbxContent>
                <w:p w:rsidR="001244B6" w:rsidRDefault="001244B6">
                  <w:r>
                    <w:rPr>
                      <w:rFonts w:hint="cs"/>
                      <w:rtl/>
                    </w:rPr>
                    <w:t xml:space="preserve">الدراسات المقارنة في السياسة الخارجية </w:t>
                  </w:r>
                </w:p>
              </w:txbxContent>
            </v:textbox>
          </v:rect>
        </w:pict>
      </w:r>
    </w:p>
    <w:p w:rsidR="001244B6" w:rsidRDefault="000A5971" w:rsidP="001244B6">
      <w:pPr>
        <w:tabs>
          <w:tab w:val="left" w:pos="3075"/>
        </w:tabs>
        <w:rPr>
          <w:rtl/>
        </w:rPr>
      </w:pPr>
      <w:r>
        <w:rPr>
          <w:noProof/>
          <w:rtl/>
          <w:lang w:eastAsia="fr-FR"/>
        </w:rPr>
        <w:pict>
          <v:shape id="_x0000_s1040" type="#_x0000_t32" style="position:absolute;margin-left:168.8pt;margin-top:20.45pt;width:.65pt;height:38.25pt;flip:x y;z-index:251672576" o:connectortype="straight">
            <v:stroke endarrow="block"/>
          </v:shape>
        </w:pict>
      </w:r>
    </w:p>
    <w:p w:rsidR="001244B6" w:rsidRDefault="001244B6" w:rsidP="001244B6">
      <w:pPr>
        <w:tabs>
          <w:tab w:val="left" w:pos="3075"/>
        </w:tabs>
        <w:rPr>
          <w:rtl/>
        </w:rPr>
      </w:pPr>
    </w:p>
    <w:p w:rsidR="001244B6" w:rsidRDefault="001244B6" w:rsidP="001244B6">
      <w:pPr>
        <w:tabs>
          <w:tab w:val="left" w:pos="3075"/>
        </w:tabs>
        <w:rPr>
          <w:rtl/>
        </w:rPr>
      </w:pPr>
      <w:proofErr w:type="spellStart"/>
      <w:r>
        <w:rPr>
          <w:rFonts w:ascii="Arial" w:hAnsi="Arial" w:cs="Arial"/>
          <w:color w:val="222222"/>
          <w:shd w:val="clear" w:color="auto" w:fill="FFFFFF"/>
        </w:rPr>
        <w:t>karima.keroui</w:t>
      </w:r>
      <w:proofErr w:type="spellEnd"/>
      <w:r w:rsidR="000A5971">
        <w:rPr>
          <w:noProof/>
          <w:rtl/>
          <w:lang w:eastAsia="fr-FR"/>
        </w:rPr>
        <w:pict>
          <v:rect id="_x0000_s1039" style="position:absolute;margin-left:2.1pt;margin-top:5.05pt;width:84.35pt;height:38.95pt;z-index:251671552;mso-position-horizontal-relative:text;mso-position-vertical-relative:text">
            <v:textbox>
              <w:txbxContent>
                <w:p w:rsidR="001244B6" w:rsidRDefault="001244B6">
                  <w:r>
                    <w:rPr>
                      <w:rFonts w:hint="cs"/>
                      <w:rtl/>
                    </w:rPr>
                    <w:t xml:space="preserve">صناعة القرار في السياسة الخارجية </w:t>
                  </w:r>
                </w:p>
              </w:txbxContent>
            </v:textbox>
          </v:rect>
        </w:pict>
      </w:r>
      <w:r w:rsidR="000A5971">
        <w:rPr>
          <w:noProof/>
          <w:rtl/>
          <w:lang w:eastAsia="fr-FR"/>
        </w:rPr>
        <w:pict>
          <v:rect id="_x0000_s1037" style="position:absolute;margin-left:265.45pt;margin-top:5.05pt;width:87.6pt;height:43.45pt;z-index:251669504;mso-position-horizontal-relative:text;mso-position-vertical-relative:text">
            <v:textbox>
              <w:txbxContent>
                <w:p w:rsidR="001244B6" w:rsidRDefault="001244B6">
                  <w:r>
                    <w:rPr>
                      <w:rFonts w:hint="cs"/>
                      <w:rtl/>
                    </w:rPr>
                    <w:t xml:space="preserve">مدخل عام للسياسة الخارجية </w:t>
                  </w:r>
                </w:p>
              </w:txbxContent>
            </v:textbox>
          </v:rect>
        </w:pict>
      </w:r>
      <w:r w:rsidR="000A5971">
        <w:rPr>
          <w:noProof/>
          <w:rtl/>
          <w:lang w:eastAsia="fr-FR"/>
        </w:rPr>
        <w:pict>
          <v:rect id="_x0000_s1035" style="position:absolute;margin-left:130.55pt;margin-top:9.6pt;width:83.65pt;height:34.4pt;z-index:251667456;mso-position-horizontal-relative:text;mso-position-vertical-relative:text">
            <v:textbox>
              <w:txbxContent>
                <w:p w:rsidR="001244B6" w:rsidRDefault="001244B6">
                  <w:proofErr w:type="gramStart"/>
                  <w:r>
                    <w:rPr>
                      <w:rFonts w:hint="cs"/>
                      <w:rtl/>
                    </w:rPr>
                    <w:t>السياسة</w:t>
                  </w:r>
                  <w:proofErr w:type="gramEnd"/>
                  <w:r>
                    <w:rPr>
                      <w:rFonts w:hint="cs"/>
                      <w:rtl/>
                    </w:rPr>
                    <w:t xml:space="preserve"> الخارجية المقارنة </w:t>
                  </w:r>
                </w:p>
              </w:txbxContent>
            </v:textbox>
          </v:rect>
        </w:pict>
      </w:r>
    </w:p>
    <w:p w:rsidR="001244B6" w:rsidRDefault="000A5971" w:rsidP="001244B6">
      <w:pPr>
        <w:tabs>
          <w:tab w:val="left" w:pos="3075"/>
        </w:tabs>
        <w:rPr>
          <w:rtl/>
        </w:rPr>
      </w:pPr>
      <w:r>
        <w:rPr>
          <w:noProof/>
          <w:rtl/>
          <w:lang w:eastAsia="fr-FR"/>
        </w:rPr>
        <w:pict>
          <v:shape id="_x0000_s1038" type="#_x0000_t32" style="position:absolute;margin-left:92.25pt;margin-top:-.05pt;width:38.3pt;height:.65pt;flip:x;z-index:251670528" o:connectortype="straight">
            <v:stroke endarrow="block"/>
          </v:shape>
        </w:pict>
      </w:r>
      <w:r>
        <w:rPr>
          <w:noProof/>
          <w:rtl/>
          <w:lang w:eastAsia="fr-FR"/>
        </w:rPr>
        <w:pict>
          <v:shape id="_x0000_s1036" type="#_x0000_t32" style="position:absolute;margin-left:214.2pt;margin-top:3.85pt;width:51.25pt;height:0;z-index:251668480" o:connectortype="straight">
            <v:stroke endarrow="block"/>
          </v:shape>
        </w:pict>
      </w:r>
    </w:p>
    <w:p w:rsidR="001244B6" w:rsidRDefault="001244B6" w:rsidP="001244B6">
      <w:pPr>
        <w:rPr>
          <w:rtl/>
        </w:rPr>
      </w:pPr>
    </w:p>
    <w:p w:rsidR="001244B6" w:rsidRDefault="001244B6" w:rsidP="001244B6">
      <w:pPr>
        <w:jc w:val="right"/>
        <w:rPr>
          <w:rtl/>
        </w:rPr>
      </w:pPr>
      <w:r>
        <w:rPr>
          <w:rFonts w:hint="cs"/>
          <w:rtl/>
        </w:rPr>
        <w:t xml:space="preserve">العلاقات الأوروبية </w:t>
      </w:r>
      <w:proofErr w:type="spellStart"/>
      <w:r>
        <w:rPr>
          <w:rFonts w:hint="cs"/>
          <w:rtl/>
        </w:rPr>
        <w:t>المغاربية</w:t>
      </w:r>
      <w:proofErr w:type="spellEnd"/>
      <w:r>
        <w:rPr>
          <w:rFonts w:hint="cs"/>
          <w:rtl/>
        </w:rPr>
        <w:t xml:space="preserve"> </w:t>
      </w:r>
    </w:p>
    <w:p w:rsidR="001244B6" w:rsidRDefault="001244B6" w:rsidP="001244B6">
      <w:pPr>
        <w:jc w:val="right"/>
        <w:rPr>
          <w:rtl/>
        </w:rPr>
      </w:pPr>
      <w:r>
        <w:rPr>
          <w:rFonts w:hint="cs"/>
          <w:rtl/>
        </w:rPr>
        <w:t xml:space="preserve">الهدف من </w:t>
      </w:r>
      <w:proofErr w:type="spellStart"/>
      <w:r>
        <w:rPr>
          <w:rFonts w:hint="cs"/>
          <w:rtl/>
        </w:rPr>
        <w:t>المقياس:</w:t>
      </w:r>
      <w:proofErr w:type="spellEnd"/>
      <w:r>
        <w:rPr>
          <w:rFonts w:hint="cs"/>
          <w:rtl/>
        </w:rPr>
        <w:t xml:space="preserve"> تزويد الطالب بكم معرفي يسمح له بفهم الخلفية والسياقات التي تتحكم في العلاقات الأوروبية </w:t>
      </w:r>
      <w:proofErr w:type="spellStart"/>
      <w:r>
        <w:rPr>
          <w:rFonts w:hint="cs"/>
          <w:rtl/>
        </w:rPr>
        <w:t>المغاربية</w:t>
      </w:r>
      <w:proofErr w:type="spellEnd"/>
      <w:r>
        <w:rPr>
          <w:rFonts w:hint="cs"/>
          <w:rtl/>
        </w:rPr>
        <w:t>.</w:t>
      </w:r>
    </w:p>
    <w:p w:rsidR="001244B6" w:rsidRPr="001244B6" w:rsidRDefault="001244B6" w:rsidP="001244B6">
      <w:pPr>
        <w:jc w:val="right"/>
        <w:rPr>
          <w:rtl/>
        </w:rPr>
      </w:pPr>
      <w:r>
        <w:rPr>
          <w:rFonts w:hint="cs"/>
          <w:rtl/>
        </w:rPr>
        <w:t xml:space="preserve">المكتسبات القلبية </w:t>
      </w:r>
      <w:proofErr w:type="spellStart"/>
      <w:r>
        <w:rPr>
          <w:rFonts w:hint="cs"/>
          <w:rtl/>
        </w:rPr>
        <w:t>والبعدية</w:t>
      </w:r>
      <w:proofErr w:type="spellEnd"/>
      <w:r>
        <w:rPr>
          <w:rFonts w:hint="cs"/>
          <w:rtl/>
        </w:rPr>
        <w:t xml:space="preserve">: المعارف المكتسبة والتكوين القاعدي للطالب في </w:t>
      </w:r>
      <w:proofErr w:type="spellStart"/>
      <w:r>
        <w:rPr>
          <w:rFonts w:hint="cs"/>
          <w:rtl/>
        </w:rPr>
        <w:t>الإقتصاد</w:t>
      </w:r>
      <w:proofErr w:type="spellEnd"/>
      <w:r>
        <w:rPr>
          <w:rFonts w:hint="cs"/>
          <w:rtl/>
        </w:rPr>
        <w:t xml:space="preserve"> والتاريخ السياسي للعلاقات الدولية وتكوينات ذات الصلة التي تساعد على دراسة العلوم السياسية.</w:t>
      </w:r>
    </w:p>
    <w:sectPr w:rsidR="001244B6" w:rsidRPr="001244B6" w:rsidSect="00E637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ED20AE"/>
    <w:rsid w:val="000A5971"/>
    <w:rsid w:val="001244B6"/>
    <w:rsid w:val="00705A18"/>
    <w:rsid w:val="00C0471A"/>
    <w:rsid w:val="00DC71D1"/>
    <w:rsid w:val="00E637C8"/>
    <w:rsid w:val="00ED2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8" type="connector" idref="#_x0000_s1027"/>
        <o:r id="V:Rule9" type="connector" idref="#_x0000_s1031"/>
        <o:r id="V:Rule10" type="connector" idref="#_x0000_s1028"/>
        <o:r id="V:Rule11" type="connector" idref="#_x0000_s1036"/>
        <o:r id="V:Rule12" type="connector" idref="#_x0000_s1038"/>
        <o:r id="V:Rule13" type="connector" idref="#_x0000_s1033"/>
        <o:r id="V:Rule14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7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417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INFOTEC</dc:creator>
  <cp:lastModifiedBy>INFOTEC</cp:lastModifiedBy>
  <cp:revision>2</cp:revision>
  <dcterms:created xsi:type="dcterms:W3CDTF">2023-12-21T11:53:00Z</dcterms:created>
  <dcterms:modified xsi:type="dcterms:W3CDTF">2023-12-21T11:53:00Z</dcterms:modified>
</cp:coreProperties>
</file>