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F42" w:rsidRPr="00ED0F42" w:rsidRDefault="00ED0F42" w:rsidP="004345FF">
      <w:pPr>
        <w:bidi/>
        <w:spacing w:after="0"/>
        <w:ind w:firstLine="425"/>
        <w:jc w:val="center"/>
        <w:outlineLvl w:val="0"/>
        <w:rPr>
          <w:rFonts w:ascii="Bahij Lotus" w:hAnsi="Bahij Lotus" w:cs="Bahij Lotus"/>
          <w:b/>
          <w:bCs/>
          <w:spacing w:val="2"/>
          <w:sz w:val="30"/>
          <w:szCs w:val="30"/>
          <w:rtl/>
          <w:lang w:val="en-US" w:bidi="ar-DZ"/>
        </w:rPr>
      </w:pPr>
    </w:p>
    <w:p w:rsidR="00ED0F42" w:rsidRPr="00ED0F42" w:rsidRDefault="00ED0F42" w:rsidP="004345FF">
      <w:pPr>
        <w:bidi/>
        <w:spacing w:after="0"/>
        <w:ind w:firstLine="425"/>
        <w:jc w:val="center"/>
        <w:outlineLvl w:val="0"/>
        <w:rPr>
          <w:rFonts w:ascii="Bahij Lotus" w:hAnsi="Bahij Lotus" w:cs="Bahij Lotus"/>
          <w:b/>
          <w:bCs/>
          <w:spacing w:val="2"/>
          <w:sz w:val="30"/>
          <w:szCs w:val="30"/>
          <w:rtl/>
          <w:lang w:val="en-US" w:bidi="ar-DZ"/>
        </w:rPr>
      </w:pPr>
    </w:p>
    <w:p w:rsidR="0099595C" w:rsidRPr="0076089E" w:rsidRDefault="0099595C" w:rsidP="004345FF">
      <w:pPr>
        <w:bidi/>
        <w:spacing w:after="0"/>
        <w:ind w:firstLine="425"/>
        <w:jc w:val="center"/>
        <w:outlineLvl w:val="0"/>
        <w:rPr>
          <w:rFonts w:ascii="Bahij Lotus" w:hAnsi="Bahij Lotus" w:cs="Bahij Lotus"/>
          <w:b/>
          <w:bCs/>
          <w:spacing w:val="2"/>
          <w:sz w:val="38"/>
          <w:szCs w:val="38"/>
          <w:rtl/>
          <w:lang w:val="en-US" w:bidi="ar-DZ"/>
        </w:rPr>
      </w:pPr>
      <w:r w:rsidRPr="0076089E">
        <w:rPr>
          <w:rFonts w:ascii="Bahij Lotus" w:hAnsi="Bahij Lotus" w:cs="Bahij Lotus" w:hint="cs"/>
          <w:b/>
          <w:bCs/>
          <w:spacing w:val="2"/>
          <w:sz w:val="38"/>
          <w:szCs w:val="38"/>
          <w:rtl/>
          <w:lang w:val="en-US" w:bidi="ar-DZ"/>
        </w:rPr>
        <w:t xml:space="preserve">دفاتر </w:t>
      </w:r>
      <w:proofErr w:type="spellStart"/>
      <w:r w:rsidRPr="0076089E">
        <w:rPr>
          <w:rFonts w:ascii="Bahij Lotus" w:hAnsi="Bahij Lotus" w:cs="Bahij Lotus" w:hint="cs"/>
          <w:b/>
          <w:bCs/>
          <w:spacing w:val="2"/>
          <w:sz w:val="38"/>
          <w:szCs w:val="38"/>
          <w:rtl/>
          <w:lang w:val="en-US" w:bidi="ar-DZ"/>
        </w:rPr>
        <w:t>علوفات</w:t>
      </w:r>
      <w:proofErr w:type="spellEnd"/>
      <w:r w:rsidRPr="0076089E">
        <w:rPr>
          <w:rFonts w:ascii="Bahij Lotus" w:hAnsi="Bahij Lotus" w:cs="Bahij Lotus" w:hint="cs"/>
          <w:b/>
          <w:bCs/>
          <w:spacing w:val="2"/>
          <w:sz w:val="38"/>
          <w:szCs w:val="38"/>
          <w:rtl/>
          <w:lang w:val="en-US" w:bidi="ar-DZ"/>
        </w:rPr>
        <w:t xml:space="preserve"> الإنكشارية</w:t>
      </w:r>
    </w:p>
    <w:p w:rsidR="0099595C" w:rsidRPr="00ED0F42" w:rsidRDefault="0099595C" w:rsidP="004345FF">
      <w:pPr>
        <w:bidi/>
        <w:spacing w:after="0"/>
        <w:ind w:firstLine="425"/>
        <w:jc w:val="both"/>
        <w:outlineLvl w:val="0"/>
        <w:rPr>
          <w:rFonts w:ascii="Bahij Lotus" w:hAnsi="Bahij Lotus" w:cs="Bahij Lotus"/>
          <w:spacing w:val="2"/>
          <w:sz w:val="30"/>
          <w:szCs w:val="30"/>
          <w:rtl/>
          <w:lang w:val="en-US" w:bidi="ar-DZ"/>
        </w:rPr>
      </w:pPr>
    </w:p>
    <w:p w:rsidR="00ED0F42" w:rsidRPr="00ED0F42" w:rsidRDefault="00ED0F42" w:rsidP="004345FF">
      <w:pPr>
        <w:bidi/>
        <w:spacing w:after="0"/>
        <w:ind w:firstLine="425"/>
        <w:jc w:val="both"/>
        <w:outlineLvl w:val="0"/>
        <w:rPr>
          <w:rFonts w:ascii="Bahij Lotus" w:hAnsi="Bahij Lotus" w:cs="Bahij Lotus"/>
          <w:spacing w:val="2"/>
          <w:sz w:val="30"/>
          <w:szCs w:val="30"/>
          <w:lang w:val="en-US" w:bidi="ar-DZ"/>
        </w:rPr>
      </w:pPr>
    </w:p>
    <w:p w:rsidR="004345FF" w:rsidRDefault="0099595C" w:rsidP="0076089E">
      <w:pPr>
        <w:bidi/>
        <w:spacing w:after="120"/>
        <w:ind w:firstLine="425"/>
        <w:jc w:val="both"/>
        <w:rPr>
          <w:rFonts w:ascii="Bahij Lotus" w:hAnsi="Bahij Lotus" w:cs="Bahij Lotus"/>
          <w:spacing w:val="2"/>
          <w:sz w:val="30"/>
          <w:szCs w:val="30"/>
          <w:rtl/>
          <w:lang w:val="en-US" w:bidi="ar-DZ"/>
        </w:rPr>
      </w:pP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تشكّل دفاتر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الإنكشارية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المحفوظة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في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مصلحة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المخطوطات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بالمكتبة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الوطنية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الجزائرية مصدرًا أساسيًا للبحث في تنظيم الأوجاق ؛ وهي في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الحقيقة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عبارة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عن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دفاتر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proofErr w:type="spellStart"/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العلوفات</w:t>
      </w:r>
      <w:proofErr w:type="spellEnd"/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الّتي كان يتقاضاها كلّ منتسبٍ لأوجاق الإنكشارية في أوقات معلومة كلّ شهرين هجريين. و</w:t>
      </w:r>
      <w:r w:rsidR="007474B6"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يبلغ عدد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هذه الدفاتر </w:t>
      </w:r>
      <w:r w:rsidR="007474B6"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ثلاثة وثلاثين دفترًا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بحسب الفهرس الخاصّ </w:t>
      </w:r>
      <w:r w:rsidR="007474B6"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الّذي وضعه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محافظ الوثائق العربية </w:t>
      </w:r>
      <w:proofErr w:type="spellStart"/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>دﻳﭭﻮ</w:t>
      </w:r>
      <w:proofErr w:type="spellEnd"/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 (</w:t>
      </w:r>
      <w:proofErr w:type="spellStart"/>
      <w:r w:rsidR="007474B6" w:rsidRPr="00ED0F42">
        <w:rPr>
          <w:rFonts w:ascii="Bahij Lotus" w:hAnsi="Bahij Lotus" w:cs="Bahij Lotus"/>
          <w:spacing w:val="2"/>
          <w:sz w:val="30"/>
          <w:szCs w:val="30"/>
          <w:lang w:val="en-US" w:bidi="ar-DZ"/>
        </w:rPr>
        <w:t>Devoulx</w:t>
      </w:r>
      <w:proofErr w:type="spellEnd"/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) </w:t>
      </w:r>
      <w:r w:rsidR="007474B6"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>سنة 1850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>، وكلّ "</w:t>
      </w:r>
      <w:r w:rsidRPr="00ED0F42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val="en-US" w:bidi="ar-DZ"/>
        </w:rPr>
        <w:t xml:space="preserve">دفتر قيّدت فيه أسماء العساكر </w:t>
      </w:r>
      <w:proofErr w:type="spellStart"/>
      <w:r w:rsidRPr="00ED0F42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val="en-US" w:bidi="ar-DZ"/>
        </w:rPr>
        <w:t>الإنجشارية</w:t>
      </w:r>
      <w:proofErr w:type="spellEnd"/>
      <w:r w:rsidRPr="00ED0F42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val="en-US" w:bidi="ar-DZ"/>
        </w:rPr>
        <w:t xml:space="preserve"> وأسماء آبائهم وبلادهم، ومن أيّ وجاق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>(كذا)</w:t>
      </w:r>
      <w:r w:rsidRPr="00ED0F42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val="en-US" w:bidi="ar-DZ"/>
        </w:rPr>
        <w:t xml:space="preserve">، وما يتحصّل لكلّ واحد بانفراد في كلّ مرتّب ؛ لأنّ الراتب ليس على صنف واحد، بل الأدنى يقبض في كلّ راتب فرنك وخمسة </w:t>
      </w:r>
      <w:proofErr w:type="spellStart"/>
      <w:r w:rsidRPr="00ED0F42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val="en-US" w:bidi="ar-DZ"/>
        </w:rPr>
        <w:t>سنتيمات</w:t>
      </w:r>
      <w:proofErr w:type="spellEnd"/>
      <w:r w:rsidRPr="00ED0F42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val="en-US" w:bidi="ar-DZ"/>
        </w:rPr>
        <w:t>، ويبقى طالعًا بحسب مكثه في الخدمة إلى أن ينتهي لثلاثون فرنك، وهي الدرجة العليا.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" </w:t>
      </w:r>
    </w:p>
    <w:p w:rsidR="007474B6" w:rsidRPr="00ED0F42" w:rsidRDefault="0099595C" w:rsidP="004345FF">
      <w:pPr>
        <w:bidi/>
        <w:spacing w:after="120"/>
        <w:ind w:firstLine="425"/>
        <w:jc w:val="both"/>
        <w:rPr>
          <w:rFonts w:ascii="Bahij Lotus" w:hAnsi="Bahij Lotus" w:cs="Bahij Lotus"/>
          <w:spacing w:val="2"/>
          <w:sz w:val="30"/>
          <w:szCs w:val="30"/>
          <w:rtl/>
        </w:rPr>
      </w:pP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>وقد حكم هذا الأخير بعدم جدوى هذه المجموعة من الدفاتر للإدارة الاستعمارية بالجزائر ؛ ولذا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،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 أمر </w:t>
      </w:r>
      <w:r w:rsidRPr="00E27A71">
        <w:rPr>
          <w:rFonts w:ascii="Bahij Lotus" w:hAnsi="Bahij Lotus" w:cs="Bahij Lotus" w:hint="cs"/>
          <w:spacing w:val="6"/>
          <w:sz w:val="30"/>
          <w:szCs w:val="30"/>
          <w:rtl/>
          <w:lang w:val="en-US" w:bidi="ar-DZ"/>
        </w:rPr>
        <w:t xml:space="preserve">بإيداعها </w:t>
      </w:r>
      <w:r w:rsidR="00E27A71" w:rsidRPr="00E27A71">
        <w:rPr>
          <w:rFonts w:ascii="Bahij Lotus" w:hAnsi="Bahij Lotus" w:cs="Bahij Lotus" w:hint="cs"/>
          <w:spacing w:val="6"/>
          <w:sz w:val="30"/>
          <w:szCs w:val="30"/>
          <w:rtl/>
          <w:lang w:val="en-US" w:bidi="ar-DZ"/>
        </w:rPr>
        <w:t xml:space="preserve">في </w:t>
      </w:r>
      <w:r w:rsidRPr="00E27A71">
        <w:rPr>
          <w:rFonts w:ascii="Bahij Lotus" w:hAnsi="Bahij Lotus" w:cs="Bahij Lotus" w:hint="cs"/>
          <w:spacing w:val="6"/>
          <w:sz w:val="30"/>
          <w:szCs w:val="30"/>
          <w:rtl/>
          <w:lang w:val="en-US" w:bidi="ar-DZ"/>
        </w:rPr>
        <w:t xml:space="preserve">المكتبة الوطنية بالجزائر سنة 1852، حيث توجد إلى يومنا هذا. أمّا في الفهرس الّذي أقامه </w:t>
      </w:r>
      <w:r w:rsidRPr="00E27A71">
        <w:rPr>
          <w:rFonts w:ascii="Bahij Lotus" w:hAnsi="Bahij Lotus" w:cs="Bahij Lotus" w:hint="cs"/>
          <w:spacing w:val="-2"/>
          <w:sz w:val="30"/>
          <w:szCs w:val="30"/>
          <w:rtl/>
          <w:lang w:val="en-US" w:bidi="ar-DZ"/>
        </w:rPr>
        <w:t>فانيان</w:t>
      </w:r>
      <w:r w:rsidR="007474B6" w:rsidRPr="00ED0F42">
        <w:rPr>
          <w:rFonts w:ascii="Bahij Lotus" w:hAnsi="Bahij Lotus" w:cs="Bahij Lotus"/>
          <w:spacing w:val="2"/>
          <w:sz w:val="30"/>
          <w:szCs w:val="30"/>
          <w:lang w:val="en-US" w:bidi="ar-DZ"/>
        </w:rPr>
        <w:t>(</w:t>
      </w:r>
      <w:proofErr w:type="spellStart"/>
      <w:r w:rsidR="007474B6" w:rsidRPr="00ED0F42">
        <w:rPr>
          <w:rFonts w:ascii="Bahij Lotus" w:hAnsi="Bahij Lotus" w:cs="Bahij Lotus"/>
          <w:spacing w:val="2"/>
          <w:sz w:val="30"/>
          <w:szCs w:val="30"/>
          <w:lang w:bidi="ar-DZ"/>
        </w:rPr>
        <w:t>Fagnan</w:t>
      </w:r>
      <w:proofErr w:type="spellEnd"/>
      <w:r w:rsidR="007474B6" w:rsidRPr="00ED0F42">
        <w:rPr>
          <w:rFonts w:ascii="Bahij Lotus" w:hAnsi="Bahij Lotus" w:cs="Bahij Lotus"/>
          <w:spacing w:val="2"/>
          <w:sz w:val="30"/>
          <w:szCs w:val="30"/>
          <w:lang w:val="en-US" w:bidi="ar-DZ"/>
        </w:rPr>
        <w:t xml:space="preserve">)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 لمخطوطات المكتبة الوطنية، فذكر أنّ عددها ثمانية وعشرين، مضيفًا أنّه "</w:t>
      </w:r>
      <w:r w:rsidRPr="00ED0F42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val="en-US" w:bidi="ar-DZ"/>
        </w:rPr>
        <w:t>لا يظهر أنّها تنطوي على أيّة أهمّية تاريخية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 !"</w:t>
      </w:r>
      <w:r w:rsidRPr="00ED0F42">
        <w:rPr>
          <w:rFonts w:ascii="Bahij Lotus" w:hAnsi="Bahij Lotus" w:cs="Bahij Lotus" w:hint="cs"/>
          <w:spacing w:val="2"/>
          <w:sz w:val="30"/>
          <w:szCs w:val="30"/>
          <w:vertAlign w:val="superscript"/>
          <w:rtl/>
          <w:lang w:val="en-US" w:bidi="ar-DZ"/>
        </w:rPr>
        <w:t>(3)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. وهو زعمٌ دحضه بسهولة الباحث دوني </w:t>
      </w:r>
      <w:r w:rsidR="007474B6"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>(</w:t>
      </w:r>
      <w:proofErr w:type="spellStart"/>
      <w:r w:rsidR="007474B6" w:rsidRPr="00ED0F42">
        <w:rPr>
          <w:rFonts w:ascii="Bahij Lotus" w:hAnsi="Bahij Lotus" w:cs="Bahij Lotus"/>
          <w:spacing w:val="2"/>
          <w:sz w:val="30"/>
          <w:szCs w:val="30"/>
          <w:lang w:bidi="ar-DZ"/>
        </w:rPr>
        <w:t>Deny</w:t>
      </w:r>
      <w:proofErr w:type="spellEnd"/>
      <w:r w:rsidR="007474B6"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)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>في دراسته الرائدة حول الدفاتر الّتي نشرها في المجلّة الإفريقية.</w:t>
      </w:r>
      <w:r w:rsidR="007474B6"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>وتوصّلنا فيما يخصّنا إ</w:t>
      </w:r>
      <w:r w:rsidR="0076089E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>لى أنّ عددها الحقيقي هو أربعة و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>ثلاثين، بعدما عكفنا على تجميع أجزاء الدفاتر العديدة الّتي كانت خِلط مِلط</w:t>
      </w:r>
      <w:r w:rsidR="00E27A71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>،</w:t>
      </w:r>
      <w:bookmarkStart w:id="0" w:name="_GoBack"/>
      <w:bookmarkEnd w:id="0"/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 xml:space="preserve"> وقمنا بإعادة ترتيب أوراقها المبعثرة</w:t>
      </w:r>
      <w:r w:rsidR="007474B6" w:rsidRPr="00ED0F42">
        <w:rPr>
          <w:rFonts w:ascii="Bahij Lotus" w:hAnsi="Bahij Lotus" w:cs="Bahij Lotus" w:hint="cs"/>
          <w:spacing w:val="2"/>
          <w:sz w:val="30"/>
          <w:szCs w:val="30"/>
          <w:rtl/>
        </w:rPr>
        <w:t>.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</w:p>
    <w:p w:rsidR="0099595C" w:rsidRDefault="007474B6" w:rsidP="0076089E">
      <w:pPr>
        <w:bidi/>
        <w:spacing w:after="120"/>
        <w:ind w:firstLine="425"/>
        <w:jc w:val="both"/>
        <w:rPr>
          <w:rFonts w:ascii="Bahij Lotus" w:hAnsi="Bahij Lotus" w:cs="Bahij Lotus"/>
          <w:spacing w:val="2"/>
          <w:sz w:val="30"/>
          <w:szCs w:val="30"/>
          <w:rtl/>
        </w:rPr>
      </w:pP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ول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t>قد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تمّ ترقيم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الدفاتر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في بداية الفترة الاستعمارية عدّة مرّات بشكل فوضوي، لم تراع فيها أيّة </w:t>
      </w:r>
      <w:r w:rsidR="0076089E">
        <w:rPr>
          <w:rFonts w:ascii="Bahij Lotus" w:hAnsi="Bahij Lotus" w:cs="Bahij Lotus" w:hint="cs"/>
          <w:spacing w:val="2"/>
          <w:sz w:val="30"/>
          <w:szCs w:val="30"/>
          <w:rtl/>
        </w:rPr>
        <w:t>اعتبارات ؛ و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لأجل ذلك، ضربنا صفحًا عن ذكر تلك </w:t>
      </w:r>
      <w:proofErr w:type="spellStart"/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الترقيمات</w:t>
      </w:r>
      <w:proofErr w:type="spellEnd"/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، ولم نعرها أيّ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اعتبار. وكان الّذي احتفظنا به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، هو الّذي تمّ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بحسب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فهرسة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فانيان، والّذي كان معتمدًا من قبل مصلحة المخطوطات ؛ وهو يتدرّج من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1960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إلى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198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6، بالإضافة إلى وجود سبعة أرقام مكرّرة.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ولو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أنّ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هذا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الترقيم - مثل سابقيه -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لم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يراع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قطّ ترتيبها</w:t>
      </w:r>
      <w:r w:rsidR="0099595C"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="0099595C" w:rsidRPr="00ED0F42">
        <w:rPr>
          <w:rFonts w:ascii="Bahij Lotus" w:hAnsi="Bahij Lotus" w:cs="Bahij Lotus" w:hint="cs"/>
          <w:spacing w:val="2"/>
          <w:sz w:val="30"/>
          <w:szCs w:val="30"/>
          <w:rtl/>
        </w:rPr>
        <w:t>حسب التسلسل الزمني، كما تأكّد لنا بعد الاطّلاع عليها</w:t>
      </w:r>
      <w:r w:rsidR="0099595C" w:rsidRPr="00ED0F42">
        <w:rPr>
          <w:rFonts w:ascii="Bahij Lotus" w:hAnsi="Bahij Lotus" w:cs="Bahij Lotus"/>
          <w:spacing w:val="2"/>
          <w:sz w:val="30"/>
          <w:szCs w:val="30"/>
        </w:rPr>
        <w:t>.</w:t>
      </w:r>
    </w:p>
    <w:p w:rsidR="004345FF" w:rsidRPr="00ED0F42" w:rsidRDefault="004345FF" w:rsidP="004345FF">
      <w:pPr>
        <w:bidi/>
        <w:spacing w:after="120"/>
        <w:jc w:val="center"/>
        <w:rPr>
          <w:rFonts w:ascii="Bahij Lotus" w:hAnsi="Bahij Lotus" w:cs="Bahij Lotus"/>
          <w:spacing w:val="2"/>
          <w:sz w:val="30"/>
          <w:szCs w:val="30"/>
        </w:rPr>
      </w:pPr>
      <w:r w:rsidRPr="004345FF">
        <w:rPr>
          <w:rFonts w:ascii="Bahij Lotus" w:hAnsi="Bahij Lotus" w:cs="Bahij Lotus"/>
          <w:noProof/>
          <w:spacing w:val="2"/>
          <w:sz w:val="30"/>
          <w:szCs w:val="30"/>
          <w:rtl/>
          <w:lang w:eastAsia="fr-FR"/>
        </w:rPr>
        <w:lastRenderedPageBreak/>
        <w:drawing>
          <wp:inline distT="0" distB="0" distL="0" distR="0">
            <wp:extent cx="6185527" cy="8898678"/>
            <wp:effectExtent l="0" t="0" r="6350" b="0"/>
            <wp:docPr id="2" name="Image 2" descr="C:\Users\PC\AppData\Local\Temp\_TS2E5.tmp\_TS1CF.tmp\Untitled-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_TS2E5.tmp\_TS1CF.tmp\Untitled-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056" cy="891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5FF" w:rsidRDefault="004345FF" w:rsidP="004345FF">
      <w:pPr>
        <w:bidi/>
        <w:spacing w:after="120"/>
        <w:jc w:val="center"/>
        <w:outlineLvl w:val="0"/>
        <w:rPr>
          <w:rFonts w:ascii="Bahij Lotus" w:hAnsi="Bahij Lotus" w:cs="Bahij Lotus"/>
          <w:spacing w:val="2"/>
          <w:sz w:val="30"/>
          <w:szCs w:val="30"/>
          <w:rtl/>
          <w:lang w:val="en-US" w:bidi="ar-DZ"/>
        </w:rPr>
      </w:pPr>
      <w:r w:rsidRPr="004345FF">
        <w:rPr>
          <w:rFonts w:ascii="Bahij Lotus" w:hAnsi="Bahij Lotus" w:cs="Bahij Lotus"/>
          <w:noProof/>
          <w:spacing w:val="2"/>
          <w:sz w:val="30"/>
          <w:szCs w:val="30"/>
          <w:rtl/>
          <w:lang w:eastAsia="fr-FR"/>
        </w:rPr>
        <w:lastRenderedPageBreak/>
        <w:drawing>
          <wp:inline distT="0" distB="0" distL="0" distR="0">
            <wp:extent cx="6188710" cy="9050152"/>
            <wp:effectExtent l="0" t="0" r="2540" b="0"/>
            <wp:docPr id="1" name="Image 1" descr="C:\Users\PC\AppData\Local\Temp\_TS2E5.tmp\_TS1CD.tm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_TS2E5.tmp\_TS1CD.tmp\Untitled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05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95C" w:rsidRPr="00ED0F42" w:rsidRDefault="0099595C" w:rsidP="00E27A71">
      <w:pPr>
        <w:bidi/>
        <w:spacing w:after="120"/>
        <w:ind w:firstLine="425"/>
        <w:jc w:val="both"/>
        <w:outlineLvl w:val="0"/>
        <w:rPr>
          <w:rFonts w:ascii="Bahij Lotus" w:hAnsi="Bahij Lotus" w:cs="Bahij Lotus"/>
          <w:spacing w:val="2"/>
          <w:sz w:val="30"/>
          <w:szCs w:val="30"/>
          <w:rtl/>
        </w:rPr>
      </w:pP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val="en-US" w:bidi="ar-DZ"/>
        </w:rPr>
        <w:lastRenderedPageBreak/>
        <w:t xml:space="preserve">على كلٍّ، هذه الدفاتر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تغطي عهد الدايات في مجمله، </w:t>
      </w:r>
      <w:r w:rsidR="00E27A71">
        <w:rPr>
          <w:rFonts w:ascii="Bahij Lotus" w:hAnsi="Bahij Lotus" w:cs="Bahij Lotus" w:hint="cs"/>
          <w:spacing w:val="2"/>
          <w:sz w:val="30"/>
          <w:szCs w:val="30"/>
          <w:rtl/>
        </w:rPr>
        <w:t>إذ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يعود أقدمها إلى الفترة ما بين شهري يناير 1689 و 1694</w:t>
      </w:r>
      <w:r w:rsidR="00E27A71">
        <w:rPr>
          <w:rFonts w:ascii="Bahij Lotus" w:hAnsi="Bahij Lotus" w:cs="Bahij Lotus" w:hint="cs"/>
          <w:spacing w:val="2"/>
          <w:sz w:val="30"/>
          <w:szCs w:val="30"/>
          <w:rtl/>
        </w:rPr>
        <w:t>م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، بينما أغلق أحدثها أيّامًا معدودة قبل سقوط مدينة الجزائر بيد الفرنسيين ؛ وقد سجّل وجود ثغرات بسبب ضياع العديد من الدفاتر. وكون اثنان من </w:t>
      </w:r>
      <w:proofErr w:type="spellStart"/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الخوجات</w:t>
      </w:r>
      <w:proofErr w:type="spellEnd"/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الكبار (</w:t>
      </w:r>
      <w:proofErr w:type="spellStart"/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الدفتردار</w:t>
      </w:r>
      <w:proofErr w:type="spellEnd"/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</w:t>
      </w:r>
      <w:proofErr w:type="spellStart"/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والمقاطعجي</w:t>
      </w:r>
      <w:proofErr w:type="spellEnd"/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) تعهّدا قيدها بغرض الرقابة المالية بلا شكّ، فإنّ الملاحظ اتّباع الدفاتر لنسق واحد تقريبًا وتوافق البيانات الأساسية </w:t>
      </w:r>
      <w:r w:rsidRPr="00ED0F42">
        <w:rPr>
          <w:rFonts w:ascii="Bahij Lotus" w:hAnsi="Bahij Lotus" w:cs="Bahij Lotus" w:hint="cs"/>
          <w:spacing w:val="4"/>
          <w:sz w:val="30"/>
          <w:szCs w:val="30"/>
          <w:rtl/>
        </w:rPr>
        <w:t xml:space="preserve">بالنسبة </w:t>
      </w:r>
      <w:r w:rsidRPr="0076089E">
        <w:rPr>
          <w:rFonts w:ascii="Bahij Lotus" w:hAnsi="Bahij Lotus" w:cs="Bahij Lotus" w:hint="cs"/>
          <w:spacing w:val="-2"/>
          <w:sz w:val="30"/>
          <w:szCs w:val="30"/>
          <w:rtl/>
        </w:rPr>
        <w:t xml:space="preserve">للمتزامنة منها، رغم ورودها في سلسلتين غير متطابقتين من حيث الفترات الزمنية المغطاة لكلّ دفتر </w:t>
      </w:r>
      <w:r w:rsidR="0076089E" w:rsidRPr="0076089E">
        <w:rPr>
          <w:rFonts w:ascii="Bahij Lotus" w:hAnsi="Bahij Lotus" w:cs="Bahij Lotus" w:hint="cs"/>
          <w:spacing w:val="-2"/>
          <w:sz w:val="30"/>
          <w:szCs w:val="30"/>
          <w:rtl/>
        </w:rPr>
        <w:t>و</w:t>
      </w:r>
      <w:r w:rsidRPr="0076089E">
        <w:rPr>
          <w:rFonts w:ascii="Bahij Lotus" w:hAnsi="Bahij Lotus" w:cs="Bahij Lotus" w:hint="cs"/>
          <w:spacing w:val="-2"/>
          <w:sz w:val="30"/>
          <w:szCs w:val="30"/>
          <w:rtl/>
        </w:rPr>
        <w:t>الإشارات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الهامشية المتضمّنة.</w:t>
      </w:r>
    </w:p>
    <w:p w:rsidR="00E27A71" w:rsidRDefault="0099595C" w:rsidP="0076089E">
      <w:pPr>
        <w:bidi/>
        <w:spacing w:after="120"/>
        <w:ind w:firstLine="425"/>
        <w:jc w:val="both"/>
        <w:rPr>
          <w:rFonts w:ascii="Bahij Lotus" w:hAnsi="Bahij Lotus" w:cs="Bahij Lotus"/>
          <w:spacing w:val="4"/>
          <w:sz w:val="30"/>
          <w:szCs w:val="30"/>
          <w:rtl/>
        </w:rPr>
      </w:pP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ونتبيّن أمر بقاء الدفاتر المذكورة مهملة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ل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كونها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 xml:space="preserve"> كتبت بلغة عثمانية تخلّلتها في بعض الأحيان ألفاظ أو عبارات عربية مشوبةٍ بالدارجة، بالإضافة إلى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 xml:space="preserve">أنّها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مقيّدة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بخط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="007474B6" w:rsidRPr="00ED0F42">
        <w:rPr>
          <w:rFonts w:ascii="Bahij Lotus" w:hAnsi="Bahij Lotus" w:cs="Bahij Lotus" w:hint="cs"/>
          <w:spacing w:val="2"/>
          <w:sz w:val="30"/>
          <w:szCs w:val="30"/>
          <w:rtl/>
        </w:rPr>
        <w:t>"</w:t>
      </w:r>
      <w:proofErr w:type="spellStart"/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سياقت</w:t>
      </w:r>
      <w:proofErr w:type="spellEnd"/>
      <w:r w:rsidR="007474B6" w:rsidRPr="00ED0F42">
        <w:rPr>
          <w:rFonts w:ascii="Bahij Lotus" w:hAnsi="Bahij Lotus" w:cs="Bahij Lotus" w:hint="cs"/>
          <w:spacing w:val="2"/>
          <w:sz w:val="30"/>
          <w:szCs w:val="30"/>
          <w:rtl/>
        </w:rPr>
        <w:t>"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المندغم والعديم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التنقيط، إلى جانب خط الرقاع الّذي كتبت به العبارة الهامشية ببنط صغير جدًّا ؛ وقد ينضاف أحيانًا إلى صعوبة قراءتها، ركاكة الخط </w:t>
      </w:r>
      <w:r w:rsidRPr="0076089E">
        <w:rPr>
          <w:rFonts w:ascii="Bahij Lotus" w:hAnsi="Bahij Lotus" w:cs="Bahij Lotus" w:hint="cs"/>
          <w:spacing w:val="4"/>
          <w:sz w:val="30"/>
          <w:szCs w:val="30"/>
          <w:rtl/>
        </w:rPr>
        <w:t xml:space="preserve">الّتي ميّزت بعض ماسكي هذه الدفاتر من كبار </w:t>
      </w:r>
      <w:proofErr w:type="spellStart"/>
      <w:r w:rsidRPr="0076089E">
        <w:rPr>
          <w:rFonts w:ascii="Bahij Lotus" w:hAnsi="Bahij Lotus" w:cs="Bahij Lotus" w:hint="cs"/>
          <w:spacing w:val="4"/>
          <w:sz w:val="30"/>
          <w:szCs w:val="30"/>
          <w:rtl/>
        </w:rPr>
        <w:t>الخوجات</w:t>
      </w:r>
      <w:proofErr w:type="spellEnd"/>
      <w:r w:rsidRPr="0076089E">
        <w:rPr>
          <w:rFonts w:ascii="Bahij Lotus" w:hAnsi="Bahij Lotus" w:cs="Bahij Lotus"/>
          <w:spacing w:val="4"/>
          <w:sz w:val="30"/>
          <w:szCs w:val="30"/>
          <w:rtl/>
        </w:rPr>
        <w:t xml:space="preserve"> (</w:t>
      </w:r>
      <w:proofErr w:type="spellStart"/>
      <w:r w:rsidRPr="0076089E">
        <w:rPr>
          <w:rFonts w:ascii="Bahij Lotus" w:hAnsi="Bahij Lotus" w:cs="Bahij Lotus"/>
          <w:spacing w:val="4"/>
          <w:sz w:val="30"/>
          <w:szCs w:val="30"/>
          <w:rtl/>
        </w:rPr>
        <w:t>الدفتردار</w:t>
      </w:r>
      <w:proofErr w:type="spellEnd"/>
      <w:r w:rsidRPr="0076089E">
        <w:rPr>
          <w:rFonts w:ascii="Bahij Lotus" w:hAnsi="Bahij Lotus" w:cs="Bahij Lotus"/>
          <w:spacing w:val="4"/>
          <w:sz w:val="30"/>
          <w:szCs w:val="30"/>
          <w:rtl/>
        </w:rPr>
        <w:t xml:space="preserve"> </w:t>
      </w:r>
      <w:proofErr w:type="spellStart"/>
      <w:r w:rsidRPr="0076089E">
        <w:rPr>
          <w:rFonts w:ascii="Bahij Lotus" w:hAnsi="Bahij Lotus" w:cs="Bahij Lotus"/>
          <w:spacing w:val="4"/>
          <w:sz w:val="30"/>
          <w:szCs w:val="30"/>
          <w:rtl/>
        </w:rPr>
        <w:t>والمقاطعجي</w:t>
      </w:r>
      <w:proofErr w:type="spellEnd"/>
      <w:r w:rsidRPr="0076089E">
        <w:rPr>
          <w:rFonts w:ascii="Bahij Lotus" w:hAnsi="Bahij Lotus" w:cs="Bahij Lotus"/>
          <w:spacing w:val="4"/>
          <w:sz w:val="30"/>
          <w:szCs w:val="30"/>
          <w:rtl/>
        </w:rPr>
        <w:t xml:space="preserve">). </w:t>
      </w:r>
    </w:p>
    <w:p w:rsidR="007474B6" w:rsidRPr="00ED0F42" w:rsidRDefault="0099595C" w:rsidP="00E27A71">
      <w:pPr>
        <w:bidi/>
        <w:spacing w:after="120"/>
        <w:ind w:firstLine="425"/>
        <w:jc w:val="both"/>
        <w:rPr>
          <w:rFonts w:ascii="Bahij Lotus" w:hAnsi="Bahij Lotus" w:cs="Bahij Lotus"/>
          <w:spacing w:val="2"/>
          <w:sz w:val="30"/>
          <w:szCs w:val="30"/>
          <w:rtl/>
        </w:rPr>
      </w:pPr>
      <w:r w:rsidRPr="0076089E">
        <w:rPr>
          <w:rFonts w:ascii="Bahij Lotus" w:hAnsi="Bahij Lotus" w:cs="Bahij Lotus" w:hint="cs"/>
          <w:spacing w:val="4"/>
          <w:sz w:val="30"/>
          <w:szCs w:val="30"/>
          <w:rtl/>
        </w:rPr>
        <w:t>وممّا</w:t>
      </w:r>
      <w:r w:rsidRPr="0076089E">
        <w:rPr>
          <w:rFonts w:ascii="Bahij Lotus" w:hAnsi="Bahij Lotus" w:cs="Bahij Lotus"/>
          <w:spacing w:val="4"/>
          <w:sz w:val="30"/>
          <w:szCs w:val="30"/>
          <w:rtl/>
        </w:rPr>
        <w:t xml:space="preserve"> </w:t>
      </w:r>
      <w:r w:rsidRPr="0076089E">
        <w:rPr>
          <w:rFonts w:ascii="Bahij Lotus" w:hAnsi="Bahij Lotus" w:cs="Bahij Lotus" w:hint="cs"/>
          <w:spacing w:val="4"/>
          <w:sz w:val="30"/>
          <w:szCs w:val="30"/>
          <w:rtl/>
        </w:rPr>
        <w:t>يعقّد أمر</w:t>
      </w:r>
      <w:r w:rsidRPr="0076089E">
        <w:rPr>
          <w:rFonts w:ascii="Bahij Lotus" w:hAnsi="Bahij Lotus" w:cs="Bahij Lotus"/>
          <w:spacing w:val="4"/>
          <w:sz w:val="30"/>
          <w:szCs w:val="30"/>
          <w:rtl/>
        </w:rPr>
        <w:t xml:space="preserve"> </w:t>
      </w:r>
      <w:r w:rsidRPr="0076089E">
        <w:rPr>
          <w:rFonts w:ascii="Bahij Lotus" w:hAnsi="Bahij Lotus" w:cs="Bahij Lotus" w:hint="cs"/>
          <w:spacing w:val="4"/>
          <w:sz w:val="30"/>
          <w:szCs w:val="30"/>
          <w:rtl/>
        </w:rPr>
        <w:t>دراستها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- علاوةً على ذلك - أنّ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أغلب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هذه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الدفاتر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كبير الحجم نسبيًا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حيث من 52 سنتيمتر </w:t>
      </w:r>
      <w:r w:rsidRPr="00E27A71">
        <w:rPr>
          <w:rFonts w:ascii="Bahij Lotus" w:hAnsi="Bahij Lotus" w:cs="Bahij Lotus" w:hint="cs"/>
          <w:spacing w:val="-2"/>
          <w:sz w:val="30"/>
          <w:szCs w:val="30"/>
          <w:rtl/>
        </w:rPr>
        <w:t xml:space="preserve">طولاً و 25 سنتيمتر عرضًا بالنسبة لأبعاد أقدمها يزداد حجمها تدريجيًا حتّى يصل إلى ما يقارب 56 سنتيمتر و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42 سنتيمتر على التوالي بالنسبة لأواخرها ؛ ناهيك أنّ عددًا منها ناقصة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فقدت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تجليدها وجزءًا من أوراقها،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أو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تالفة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كونها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تأثّرت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بعوامل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الرطوبة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والجفاف،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الحشرات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(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الأرضة،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السوسة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 xml:space="preserve">) </w:t>
      </w:r>
      <w:r w:rsidRPr="00ED0F42">
        <w:rPr>
          <w:rFonts w:ascii="Bahij Lotus" w:hAnsi="Bahij Lotus" w:cs="Bahij Lotus" w:hint="cs"/>
          <w:spacing w:val="2"/>
          <w:sz w:val="30"/>
          <w:szCs w:val="30"/>
          <w:rtl/>
        </w:rPr>
        <w:t>والفطريات</w:t>
      </w:r>
      <w:r w:rsidRPr="00ED0F42">
        <w:rPr>
          <w:rFonts w:ascii="Bahij Lotus" w:hAnsi="Bahij Lotus" w:cs="Bahij Lotus"/>
          <w:spacing w:val="2"/>
          <w:sz w:val="30"/>
          <w:szCs w:val="30"/>
          <w:rtl/>
        </w:rPr>
        <w:t>.</w:t>
      </w:r>
    </w:p>
    <w:p w:rsidR="002F1CD4" w:rsidRPr="00ED0F42" w:rsidRDefault="00E27A71" w:rsidP="00ED0F42">
      <w:pPr>
        <w:bidi/>
        <w:spacing w:after="120"/>
        <w:jc w:val="both"/>
        <w:rPr>
          <w:sz w:val="30"/>
          <w:szCs w:val="30"/>
        </w:rPr>
      </w:pPr>
    </w:p>
    <w:sectPr w:rsidR="002F1CD4" w:rsidRPr="00ED0F42" w:rsidSect="007474B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D71"/>
    <w:rsid w:val="00261EC7"/>
    <w:rsid w:val="00383D71"/>
    <w:rsid w:val="004345FF"/>
    <w:rsid w:val="007474B6"/>
    <w:rsid w:val="0076089E"/>
    <w:rsid w:val="008A3DD9"/>
    <w:rsid w:val="0099595C"/>
    <w:rsid w:val="00E27A71"/>
    <w:rsid w:val="00EA14C0"/>
    <w:rsid w:val="00ED0F42"/>
    <w:rsid w:val="00F8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105A"/>
  <w15:chartTrackingRefBased/>
  <w15:docId w15:val="{8E6393E9-FCDE-4C61-AECA-EF9C0709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95C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464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PC</cp:lastModifiedBy>
  <cp:revision>4</cp:revision>
  <cp:lastPrinted>2019-04-30T05:55:00Z</cp:lastPrinted>
  <dcterms:created xsi:type="dcterms:W3CDTF">2019-04-30T05:14:00Z</dcterms:created>
  <dcterms:modified xsi:type="dcterms:W3CDTF">2023-03-25T17:35:00Z</dcterms:modified>
</cp:coreProperties>
</file>