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D7" w:rsidRPr="00A453D7" w:rsidRDefault="00A453D7" w:rsidP="00AD2B5E">
      <w:pPr>
        <w:bidi/>
        <w:spacing w:after="120" w:line="276" w:lineRule="auto"/>
        <w:jc w:val="center"/>
        <w:rPr>
          <w:rFonts w:ascii="Bahij Lotus" w:hAnsi="Bahij Lotus" w:cs="Bahij Lotus"/>
          <w:b/>
          <w:bCs/>
          <w:sz w:val="30"/>
          <w:szCs w:val="30"/>
          <w:rtl/>
          <w:lang w:bidi="ar-DZ"/>
        </w:rPr>
      </w:pPr>
    </w:p>
    <w:p w:rsidR="004269E6" w:rsidRPr="00A453D7" w:rsidRDefault="000C055E" w:rsidP="00A453D7">
      <w:pPr>
        <w:bidi/>
        <w:spacing w:after="120" w:line="276" w:lineRule="auto"/>
        <w:jc w:val="center"/>
        <w:rPr>
          <w:rFonts w:ascii="Bahij Lotus" w:hAnsi="Bahij Lotus" w:cs="Bahij Lotus"/>
          <w:b/>
          <w:bCs/>
          <w:sz w:val="38"/>
          <w:szCs w:val="38"/>
          <w:rtl/>
          <w:lang w:bidi="ar-DZ"/>
        </w:rPr>
      </w:pPr>
      <w:r w:rsidRPr="00A453D7">
        <w:rPr>
          <w:rFonts w:ascii="Bahij Lotus" w:hAnsi="Bahij Lotus" w:cs="Bahij Lotus"/>
          <w:b/>
          <w:bCs/>
          <w:sz w:val="38"/>
          <w:szCs w:val="38"/>
          <w:rtl/>
          <w:lang w:bidi="ar-DZ"/>
        </w:rPr>
        <w:t>دفاتر بيت المال</w:t>
      </w:r>
    </w:p>
    <w:p w:rsidR="00577B8D" w:rsidRPr="00AD2B5E" w:rsidRDefault="00577B8D" w:rsidP="00AD2B5E">
      <w:pPr>
        <w:bidi/>
        <w:spacing w:after="120" w:line="276" w:lineRule="auto"/>
        <w:rPr>
          <w:sz w:val="30"/>
          <w:szCs w:val="30"/>
          <w:rtl/>
        </w:rPr>
      </w:pPr>
    </w:p>
    <w:p w:rsidR="00893E16" w:rsidRPr="00AD2B5E" w:rsidRDefault="00893E16" w:rsidP="00AD2B5E">
      <w:pPr>
        <w:bidi/>
        <w:spacing w:after="120" w:line="276" w:lineRule="auto"/>
        <w:rPr>
          <w:sz w:val="30"/>
          <w:szCs w:val="30"/>
          <w:rtl/>
        </w:rPr>
      </w:pPr>
    </w:p>
    <w:p w:rsidR="00577B8D" w:rsidRPr="00AD2B5E" w:rsidRDefault="00577B8D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2"/>
          <w:sz w:val="30"/>
          <w:szCs w:val="30"/>
          <w:rtl/>
        </w:rPr>
      </w:pPr>
      <w:r w:rsidRPr="00AD2B5E">
        <w:rPr>
          <w:rFonts w:ascii="Bahij Lotus" w:hAnsi="Bahij Lotus" w:cs="Bahij Lotus"/>
          <w:spacing w:val="4"/>
          <w:sz w:val="30"/>
          <w:szCs w:val="30"/>
          <w:rtl/>
        </w:rPr>
        <w:t>لقد عنى مصطلح بيت المال في التاريخ الإسلامي بشكل عامّ الإدارة الّتي اهتمّت بحفظ الأموال</w:t>
      </w:r>
      <w:r w:rsidRPr="00AD2B5E">
        <w:rPr>
          <w:rFonts w:ascii="Bahij Lotus" w:hAnsi="Bahij Lotus" w:cs="Bahij Lotus"/>
          <w:spacing w:val="2"/>
          <w:sz w:val="30"/>
          <w:szCs w:val="30"/>
          <w:rtl/>
        </w:rPr>
        <w:t xml:space="preserve"> و تنظيمها، أو بتعبير آخر 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>جمع</w:t>
      </w:r>
      <w:r w:rsidRPr="00AD2B5E">
        <w:rPr>
          <w:rFonts w:ascii="Bahij Lotus" w:hAnsi="Bahij Lotus" w:cs="Bahij Lotus"/>
          <w:spacing w:val="2"/>
          <w:sz w:val="30"/>
          <w:szCs w:val="30"/>
          <w:rtl/>
        </w:rPr>
        <w:t xml:space="preserve"> الموارد المالية الّتي نصّ عليها الشرع و صرفها في الأوجه الّتي تخدم المصلحة العامّة للدولة الإسلامية و المسلمين.</w:t>
      </w:r>
    </w:p>
    <w:p w:rsidR="00577B8D" w:rsidRPr="00AD2B5E" w:rsidRDefault="0072012A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2"/>
          <w:sz w:val="30"/>
          <w:szCs w:val="30"/>
          <w:rtl/>
        </w:rPr>
      </w:pPr>
      <w:r w:rsidRPr="00AD2B5E">
        <w:rPr>
          <w:rFonts w:ascii="Bahij Lotus" w:hAnsi="Bahij Lotus" w:cs="Bahij Lotus" w:hint="cs"/>
          <w:spacing w:val="5"/>
          <w:sz w:val="30"/>
          <w:szCs w:val="30"/>
          <w:rtl/>
        </w:rPr>
        <w:t xml:space="preserve">غني عن الذكر أنّ هذه المؤسّسة المالية عرفت تطوّرًا ملحوظًا </w:t>
      </w:r>
      <w:r w:rsidR="009E10E3" w:rsidRPr="00AD2B5E">
        <w:rPr>
          <w:rFonts w:ascii="Bahij Lotus" w:hAnsi="Bahij Lotus" w:cs="Bahij Lotus" w:hint="cs"/>
          <w:spacing w:val="5"/>
          <w:sz w:val="30"/>
          <w:szCs w:val="30"/>
          <w:rtl/>
        </w:rPr>
        <w:t>ناجم</w:t>
      </w:r>
      <w:r w:rsidRPr="00AD2B5E">
        <w:rPr>
          <w:rFonts w:ascii="Bahij Lotus" w:hAnsi="Bahij Lotus" w:cs="Bahij Lotus" w:hint="cs"/>
          <w:spacing w:val="5"/>
          <w:sz w:val="30"/>
          <w:szCs w:val="30"/>
          <w:rtl/>
        </w:rPr>
        <w:t xml:space="preserve"> عن توسّع الدولة الإسلامية</w:t>
      </w:r>
      <w:r w:rsidR="00131306" w:rsidRPr="00AD2B5E">
        <w:rPr>
          <w:rFonts w:ascii="Bahij Lotus" w:hAnsi="Bahij Lotus" w:cs="Bahij Lotus" w:hint="cs"/>
          <w:spacing w:val="5"/>
          <w:sz w:val="30"/>
          <w:szCs w:val="30"/>
          <w:rtl/>
        </w:rPr>
        <w:t>،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و من ثمّ انقسامها</w:t>
      </w:r>
      <w:r w:rsidR="000C1AC7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. 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و خلال الفترة العثمانية في الجزائر، </w:t>
      </w:r>
      <w:r w:rsidR="00131306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كان بيت المال </w:t>
      </w:r>
      <w:r w:rsidR="00A95BA4" w:rsidRPr="00AD2B5E">
        <w:rPr>
          <w:rFonts w:ascii="Bahij Lotus" w:hAnsi="Bahij Lotus" w:cs="Bahij Lotus" w:hint="cs"/>
          <w:spacing w:val="2"/>
          <w:sz w:val="30"/>
          <w:szCs w:val="30"/>
          <w:rtl/>
        </w:rPr>
        <w:t>ك</w:t>
      </w:r>
      <w:r w:rsidR="00131306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أحد مؤسّسات الدولة </w:t>
      </w:r>
      <w:proofErr w:type="spellStart"/>
      <w:r w:rsidR="00A95BA4" w:rsidRPr="00AD2B5E">
        <w:rPr>
          <w:rFonts w:ascii="Bahij Lotus" w:hAnsi="Bahij Lotus" w:cs="Bahij Lotus" w:hint="cs"/>
          <w:spacing w:val="2"/>
          <w:sz w:val="30"/>
          <w:szCs w:val="30"/>
          <w:rtl/>
        </w:rPr>
        <w:t>يتموقع</w:t>
      </w:r>
      <w:proofErr w:type="spellEnd"/>
      <w:r w:rsidR="00A95BA4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من حيث الأهمّية بعد الخزينة الكبرى - الّتي يكنز فيها احتياطي الدولة من فائض الأموال و النفائس </w:t>
      </w:r>
      <w:r w:rsidR="000D593B" w:rsidRPr="00AD2B5E">
        <w:rPr>
          <w:rFonts w:ascii="Bahij Lotus" w:hAnsi="Bahij Lotus" w:cs="Bahij Lotus" w:hint="cs"/>
          <w:spacing w:val="2"/>
          <w:sz w:val="30"/>
          <w:szCs w:val="30"/>
          <w:rtl/>
        </w:rPr>
        <w:t>-</w:t>
      </w:r>
      <w:r w:rsidR="00A95BA4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و خزينة الباشا </w:t>
      </w:r>
      <w:r w:rsidR="000D593B" w:rsidRPr="00AD2B5E">
        <w:rPr>
          <w:rFonts w:ascii="Bahij Lotus" w:hAnsi="Bahij Lotus" w:cs="Bahij Lotus" w:hint="cs"/>
          <w:spacing w:val="2"/>
          <w:sz w:val="30"/>
          <w:szCs w:val="30"/>
          <w:rtl/>
        </w:rPr>
        <w:t>-</w:t>
      </w:r>
      <w:r w:rsidR="00A95BA4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الّتي كانت تودع فيها </w:t>
      </w:r>
      <w:r w:rsidR="000D593B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ال</w:t>
      </w:r>
      <w:r w:rsidR="00A95BA4" w:rsidRPr="00AD2B5E">
        <w:rPr>
          <w:rFonts w:ascii="Bahij Lotus" w:hAnsi="Bahij Lotus" w:cs="Bahij Lotus" w:hint="cs"/>
          <w:spacing w:val="2"/>
          <w:sz w:val="30"/>
          <w:szCs w:val="30"/>
          <w:rtl/>
        </w:rPr>
        <w:t>موارد ال</w:t>
      </w:r>
      <w:r w:rsidR="000D593B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ضريبية</w:t>
      </w:r>
      <w:r w:rsidR="00A95BA4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="00EA29C5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المخصّصة لنفقات</w:t>
      </w:r>
      <w:r w:rsidR="000D593B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الدولة -</w:t>
      </w:r>
      <w:r w:rsidR="000C1AC7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؛ </w:t>
      </w:r>
      <w:r w:rsidR="00EA29C5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فقد اكتسبت هذه </w:t>
      </w:r>
      <w:r w:rsidR="00EA29C5" w:rsidRPr="00AD2B5E">
        <w:rPr>
          <w:rFonts w:ascii="Bahij Lotus" w:hAnsi="Bahij Lotus" w:cs="Bahij Lotus" w:hint="cs"/>
          <w:spacing w:val="4"/>
          <w:sz w:val="30"/>
          <w:szCs w:val="30"/>
          <w:rtl/>
        </w:rPr>
        <w:t xml:space="preserve">المؤسّسة </w:t>
      </w:r>
      <w:r w:rsidR="00016100" w:rsidRPr="00AD2B5E">
        <w:rPr>
          <w:rFonts w:ascii="Bahij Lotus" w:hAnsi="Bahij Lotus" w:cs="Bahij Lotus" w:hint="cs"/>
          <w:spacing w:val="4"/>
          <w:sz w:val="30"/>
          <w:szCs w:val="30"/>
          <w:rtl/>
        </w:rPr>
        <w:t>مكانة</w:t>
      </w:r>
      <w:r w:rsidR="00EA29C5" w:rsidRPr="00AD2B5E">
        <w:rPr>
          <w:rFonts w:ascii="Bahij Lotus" w:hAnsi="Bahij Lotus" w:cs="Bahij Lotus" w:hint="cs"/>
          <w:spacing w:val="4"/>
          <w:sz w:val="30"/>
          <w:szCs w:val="30"/>
          <w:rtl/>
        </w:rPr>
        <w:t xml:space="preserve"> كبيرة </w:t>
      </w:r>
      <w:r w:rsidR="00016100" w:rsidRPr="00AD2B5E">
        <w:rPr>
          <w:rFonts w:ascii="Bahij Lotus" w:hAnsi="Bahij Lotus" w:cs="Bahij Lotus" w:hint="cs"/>
          <w:spacing w:val="4"/>
          <w:sz w:val="30"/>
          <w:szCs w:val="30"/>
          <w:rtl/>
        </w:rPr>
        <w:t>نظرًا لوجهة نفقاتها الخيرية على الفقراء و العاجزين و التكفّل بدفن الم</w:t>
      </w:r>
      <w:r w:rsidR="006E5A82" w:rsidRPr="00AD2B5E">
        <w:rPr>
          <w:rFonts w:ascii="Bahij Lotus" w:hAnsi="Bahij Lotus" w:cs="Bahij Lotus" w:hint="cs"/>
          <w:spacing w:val="4"/>
          <w:sz w:val="30"/>
          <w:szCs w:val="30"/>
          <w:rtl/>
        </w:rPr>
        <w:t>عوّزين</w:t>
      </w:r>
      <w:r w:rsidR="006E5A82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و عابري السبيل</w:t>
      </w:r>
      <w:r w:rsidR="00016100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، علاوةً على </w:t>
      </w:r>
      <w:r w:rsidR="003E2FFA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صبّ</w:t>
      </w:r>
      <w:r w:rsidR="006E5A82" w:rsidRPr="00AD2B5E">
        <w:rPr>
          <w:rFonts w:ascii="Bahij Lotus" w:hAnsi="Bahij Lotus" w:cs="Bahij Lotus" w:hint="cs"/>
          <w:spacing w:val="2"/>
          <w:sz w:val="30"/>
          <w:szCs w:val="30"/>
          <w:rtl/>
        </w:rPr>
        <w:t>ها</w:t>
      </w:r>
      <w:r w:rsidR="003E2FFA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جزء</w:t>
      </w:r>
      <w:r w:rsidR="000C055E" w:rsidRPr="00AD2B5E">
        <w:rPr>
          <w:rFonts w:ascii="Bahij Lotus" w:hAnsi="Bahij Lotus" w:cs="Bahij Lotus" w:hint="cs"/>
          <w:spacing w:val="2"/>
          <w:sz w:val="30"/>
          <w:szCs w:val="30"/>
          <w:rtl/>
        </w:rPr>
        <w:t>ًا</w:t>
      </w:r>
      <w:r w:rsidR="003E2FFA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من مداخيلها </w:t>
      </w:r>
      <w:r w:rsidR="006E5A82" w:rsidRPr="00AD2B5E">
        <w:rPr>
          <w:rFonts w:ascii="Bahij Lotus" w:hAnsi="Bahij Lotus" w:cs="Bahij Lotus" w:hint="cs"/>
          <w:spacing w:val="2"/>
          <w:sz w:val="30"/>
          <w:szCs w:val="30"/>
          <w:rtl/>
        </w:rPr>
        <w:t>-</w:t>
      </w:r>
      <w:r w:rsidR="003E2FFA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رغم كونها مستقلّة بذاتها من حيث التسيير - بشكل منتظم في خزينة الدولة</w:t>
      </w:r>
      <w:r w:rsidR="000D593B" w:rsidRPr="00AD2B5E">
        <w:rPr>
          <w:rFonts w:ascii="Bahij Lotus" w:hAnsi="Bahij Lotus" w:cs="Bahij Lotus" w:hint="cs"/>
          <w:spacing w:val="2"/>
          <w:sz w:val="30"/>
          <w:szCs w:val="30"/>
          <w:rtl/>
        </w:rPr>
        <w:t>.</w:t>
      </w:r>
    </w:p>
    <w:p w:rsidR="006E5A82" w:rsidRPr="00AD2B5E" w:rsidRDefault="006E5A82" w:rsidP="00AD2B5E">
      <w:pPr>
        <w:bidi/>
        <w:spacing w:after="120" w:line="276" w:lineRule="auto"/>
        <w:jc w:val="both"/>
        <w:rPr>
          <w:rFonts w:ascii="Bahij Lotus" w:hAnsi="Bahij Lotus" w:cs="Bahij Lotus"/>
          <w:sz w:val="30"/>
          <w:szCs w:val="30"/>
          <w:rtl/>
        </w:rPr>
      </w:pPr>
    </w:p>
    <w:p w:rsidR="003E2FFA" w:rsidRPr="00A453D7" w:rsidRDefault="003E2FFA" w:rsidP="00AD2B5E">
      <w:pPr>
        <w:bidi/>
        <w:spacing w:after="120" w:line="276" w:lineRule="auto"/>
        <w:jc w:val="both"/>
        <w:rPr>
          <w:rFonts w:ascii="Bahij Lotus" w:hAnsi="Bahij Lotus" w:cs="Bahij Lotus"/>
          <w:b/>
          <w:bCs/>
          <w:sz w:val="34"/>
          <w:szCs w:val="34"/>
          <w:rtl/>
        </w:rPr>
      </w:pPr>
      <w:r w:rsidRPr="00A453D7">
        <w:rPr>
          <w:rFonts w:ascii="Bahij Lotus" w:hAnsi="Bahij Lotus" w:cs="Bahij Lotus" w:hint="cs"/>
          <w:b/>
          <w:bCs/>
          <w:sz w:val="34"/>
          <w:szCs w:val="34"/>
          <w:rtl/>
        </w:rPr>
        <w:t>مؤسّسة بيت المال</w:t>
      </w:r>
    </w:p>
    <w:p w:rsidR="009C0D1A" w:rsidRPr="00AD2B5E" w:rsidRDefault="00125174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z w:val="30"/>
          <w:szCs w:val="30"/>
          <w:rtl/>
        </w:rPr>
      </w:pPr>
      <w:r w:rsidRPr="00AD2B5E">
        <w:rPr>
          <w:rFonts w:ascii="Bahij Lotus" w:hAnsi="Bahij Lotus" w:cs="Bahij Lotus" w:hint="cs"/>
          <w:sz w:val="30"/>
          <w:szCs w:val="30"/>
          <w:rtl/>
        </w:rPr>
        <w:t xml:space="preserve">تمثّل نشاط مؤسّسة بيت المال في الاعتناء بتسيير الأملاك العائدة إلى اليتامى و الغائبين، و ضمان حصّة الدولة من التركات حسب الأحكام الشرعية، و من هنا اكتسبت نوعًا من الاستقلال عن مؤسّسة الأوقاف الّتي ترمي تشريعاتها إلى الحيلولة دون استيلاء الدولة </w:t>
      </w:r>
      <w:r w:rsidRPr="00AD2B5E">
        <w:rPr>
          <w:rFonts w:ascii="Bahij Lotus" w:hAnsi="Bahij Lotus" w:cs="Bahij Lotus"/>
          <w:sz w:val="30"/>
          <w:szCs w:val="30"/>
          <w:rtl/>
        </w:rPr>
        <w:t>–</w:t>
      </w:r>
      <w:r w:rsidRPr="00AD2B5E">
        <w:rPr>
          <w:rFonts w:ascii="Bahij Lotus" w:hAnsi="Bahij Lotus" w:cs="Bahij Lotus" w:hint="cs"/>
          <w:sz w:val="30"/>
          <w:szCs w:val="30"/>
          <w:rtl/>
        </w:rPr>
        <w:t xml:space="preserve"> عن طريق بيت المال </w:t>
      </w:r>
      <w:r w:rsidRPr="00AD2B5E">
        <w:rPr>
          <w:rFonts w:ascii="Bahij Lotus" w:hAnsi="Bahij Lotus" w:cs="Bahij Lotus"/>
          <w:sz w:val="30"/>
          <w:szCs w:val="30"/>
          <w:rtl/>
        </w:rPr>
        <w:t>–</w:t>
      </w:r>
      <w:r w:rsidRPr="00AD2B5E">
        <w:rPr>
          <w:rFonts w:ascii="Bahij Lotus" w:hAnsi="Bahij Lotus" w:cs="Bahij Lotus" w:hint="cs"/>
          <w:sz w:val="30"/>
          <w:szCs w:val="30"/>
          <w:rtl/>
        </w:rPr>
        <w:t xml:space="preserve"> على أملاك الأوقاف و الأحباس</w:t>
      </w:r>
      <w:r w:rsidR="009C0D1A" w:rsidRPr="00AD2B5E">
        <w:rPr>
          <w:rFonts w:ascii="Bahij Lotus" w:hAnsi="Bahij Lotus" w:cs="Bahij Lotus" w:hint="cs"/>
          <w:sz w:val="30"/>
          <w:szCs w:val="30"/>
          <w:rtl/>
        </w:rPr>
        <w:t>.</w:t>
      </w:r>
    </w:p>
    <w:p w:rsidR="003E2FFA" w:rsidRPr="00AD2B5E" w:rsidRDefault="009C0D1A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2"/>
          <w:sz w:val="30"/>
          <w:szCs w:val="30"/>
          <w:rtl/>
        </w:rPr>
      </w:pP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كان يدير هذه المؤسّسة موظّف سامي يدعى بيت مالجي، </w:t>
      </w:r>
      <w:r w:rsidR="00B85D43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ناظر بيت المال 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>أو</w:t>
      </w:r>
      <w:r w:rsidR="00B85D43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أيضًا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المكلّف بشغل المواريث 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</w:rPr>
        <w:t xml:space="preserve">المخزنية ؛ و كان يتولّى بوجه عامّ مهمّة حصر و مراقبة تركات جميع الأشخاص المتوفّين الّذين 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</w:rPr>
        <w:lastRenderedPageBreak/>
        <w:t xml:space="preserve">لم يخلّفوا </w:t>
      </w:r>
      <w:proofErr w:type="spellStart"/>
      <w:r w:rsidRPr="00AD2B5E">
        <w:rPr>
          <w:rFonts w:ascii="Bahij Lotus" w:hAnsi="Bahij Lotus" w:cs="Bahij Lotus" w:hint="cs"/>
          <w:spacing w:val="-2"/>
          <w:sz w:val="30"/>
          <w:szCs w:val="30"/>
          <w:rtl/>
        </w:rPr>
        <w:t>عاصبًا</w:t>
      </w:r>
      <w:proofErr w:type="spellEnd"/>
      <w:r w:rsidRPr="00AD2B5E">
        <w:rPr>
          <w:rFonts w:ascii="Bahij Lotus" w:hAnsi="Bahij Lotus" w:cs="Bahij Lotus" w:hint="cs"/>
          <w:spacing w:val="-2"/>
          <w:sz w:val="30"/>
          <w:szCs w:val="30"/>
          <w:rtl/>
        </w:rPr>
        <w:t>، و الغ</w:t>
      </w:r>
      <w:r w:rsidR="00465AA1" w:rsidRPr="00AD2B5E">
        <w:rPr>
          <w:rFonts w:ascii="Bahij Lotus" w:hAnsi="Bahij Lotus" w:cs="Bahij Lotus" w:hint="cs"/>
          <w:spacing w:val="-2"/>
          <w:sz w:val="30"/>
          <w:szCs w:val="30"/>
          <w:rtl/>
        </w:rPr>
        <w:t>ُ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</w:rPr>
        <w:t>يّب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="00EB5F2C" w:rsidRPr="00AD2B5E">
        <w:rPr>
          <w:rFonts w:ascii="Bahij Lotus" w:hAnsi="Bahij Lotus" w:cs="Bahij Lotus" w:hint="cs"/>
          <w:spacing w:val="2"/>
          <w:sz w:val="30"/>
          <w:szCs w:val="30"/>
          <w:rtl/>
        </w:rPr>
        <w:t>-</w:t>
      </w:r>
      <w:r w:rsidR="00465AA1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مثلما هو حال الأسرى </w:t>
      </w:r>
      <w:r w:rsidR="00BE60AD" w:rsidRPr="00AD2B5E">
        <w:rPr>
          <w:rFonts w:ascii="Bahij Lotus" w:hAnsi="Bahij Lotus" w:cs="Bahij Lotus" w:hint="cs"/>
          <w:spacing w:val="2"/>
          <w:sz w:val="30"/>
          <w:szCs w:val="30"/>
          <w:rtl/>
        </w:rPr>
        <w:t>- و المفقودين</w:t>
      </w:r>
      <w:r w:rsidR="00465AA1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</w:rPr>
        <w:t>الّذين</w:t>
      </w:r>
      <w:r w:rsidR="00125174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="00465AA1" w:rsidRPr="00AD2B5E">
        <w:rPr>
          <w:rFonts w:ascii="Bahij Lotus" w:hAnsi="Bahij Lotus" w:cs="Bahij Lotus" w:hint="cs"/>
          <w:spacing w:val="2"/>
          <w:sz w:val="30"/>
          <w:szCs w:val="30"/>
          <w:rtl/>
        </w:rPr>
        <w:t>يطول غيابهم بحيث يعدّون في عداد الموتى. و كان الميت لا يدفن إلاّ بترخيص (تذكرة) من البيت مالجي، و لا تقسم أيّ تركة</w:t>
      </w:r>
      <w:r w:rsidR="00D50731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="00465AA1" w:rsidRPr="00AD2B5E">
        <w:rPr>
          <w:rFonts w:ascii="Bahij Lotus" w:hAnsi="Bahij Lotus" w:cs="Bahij Lotus" w:hint="cs"/>
          <w:spacing w:val="2"/>
          <w:sz w:val="30"/>
          <w:szCs w:val="30"/>
          <w:rtl/>
        </w:rPr>
        <w:t>يكون فيها حظّ لبيت المال إلاّ ب</w:t>
      </w:r>
      <w:r w:rsidR="00D50731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إشراف مؤسّسته</w:t>
      </w:r>
      <w:r w:rsidR="00EB5F2C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،</w:t>
      </w:r>
      <w:r w:rsidR="00BE60AD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</w:t>
      </w:r>
      <w:r w:rsidR="00EB5F2C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حيث</w:t>
      </w:r>
      <w:r w:rsidR="00D50731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كان يتوجّه </w:t>
      </w:r>
      <w:r w:rsidR="00142C08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اثن</w:t>
      </w:r>
      <w:r w:rsidR="00D50731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ان </w:t>
      </w:r>
      <w:r w:rsidR="00142C08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من العدول </w:t>
      </w:r>
      <w:r w:rsidR="00D50731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إلى محلّ سكنى المتوفّى، فيقيّدان جميع مخلّفات الهالك، و يتمّ نقل الأشياء القيّمة الّتي يخشى ضياعها. و إذا كان الميّت أجنبيًا مجهولاً أو كان أهله متغيّبين، فإنّ بيت المال يحفظ حقوقهم ؛ فبعد بيع التركة بالمزاد العلني</w:t>
      </w:r>
      <w:r w:rsidR="00FA2C7B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'الدلالة)</w:t>
      </w:r>
      <w:r w:rsidR="00D50731" w:rsidRPr="00AD2B5E">
        <w:rPr>
          <w:rFonts w:ascii="Bahij Lotus" w:hAnsi="Bahij Lotus" w:cs="Bahij Lotus" w:hint="cs"/>
          <w:spacing w:val="2"/>
          <w:sz w:val="30"/>
          <w:szCs w:val="30"/>
          <w:rtl/>
        </w:rPr>
        <w:t>، تدوّن قيمتها في ثلاثة دفاتر و تودع في صندوق أمانات</w:t>
      </w:r>
      <w:r w:rsidR="00500977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حيث لا يستطيع أحد أن يتصرّف فيها إلاّ بإذن شرعي. و إذا لم يترك</w:t>
      </w:r>
      <w:r w:rsidR="00A8218D" w:rsidRPr="00AD2B5E">
        <w:rPr>
          <w:rFonts w:ascii="Bahij Lotus" w:hAnsi="Bahij Lotus" w:cs="Bahij Lotus" w:hint="cs"/>
          <w:spacing w:val="2"/>
          <w:sz w:val="30"/>
          <w:szCs w:val="30"/>
          <w:rtl/>
        </w:rPr>
        <w:t xml:space="preserve"> الشخص المتوفّى وارثًا حاضرًا أو غائبًا، تحسم المصاريف المترتّبة عن دفنه و تدفع ديونه إن كانت عليه ديون، ثمّ تنفّذ وصيته إن لم تتجاوز المقدار الثلث الّذي ينصّ عليه الشرع، أمّا الثلثان الباقيان فيضمّان إلى صندوق بيت المال</w:t>
      </w:r>
      <w:r w:rsidR="006E5A82" w:rsidRPr="00AD2B5E">
        <w:rPr>
          <w:rFonts w:ascii="Bahij Lotus" w:hAnsi="Bahij Lotus" w:cs="Bahij Lotus" w:hint="cs"/>
          <w:spacing w:val="2"/>
          <w:sz w:val="30"/>
          <w:szCs w:val="30"/>
          <w:rtl/>
        </w:rPr>
        <w:t>.</w:t>
      </w:r>
    </w:p>
    <w:p w:rsidR="00EB5F2C" w:rsidRPr="00AD2B5E" w:rsidRDefault="00EB5F2C" w:rsidP="00AD2B5E">
      <w:pPr>
        <w:bidi/>
        <w:spacing w:after="120" w:line="276" w:lineRule="auto"/>
        <w:jc w:val="both"/>
        <w:rPr>
          <w:rFonts w:ascii="Bahij Lotus" w:hAnsi="Bahij Lotus" w:cs="Bahij Lotus"/>
          <w:b/>
          <w:bCs/>
          <w:sz w:val="30"/>
          <w:szCs w:val="30"/>
          <w:rtl/>
        </w:rPr>
      </w:pPr>
    </w:p>
    <w:p w:rsidR="006E5A82" w:rsidRPr="00A453D7" w:rsidRDefault="006E5A82" w:rsidP="00AD2B5E">
      <w:pPr>
        <w:bidi/>
        <w:spacing w:after="120" w:line="276" w:lineRule="auto"/>
        <w:jc w:val="both"/>
        <w:rPr>
          <w:rFonts w:ascii="Bahij Lotus" w:hAnsi="Bahij Lotus" w:cs="Bahij Lotus"/>
          <w:b/>
          <w:bCs/>
          <w:sz w:val="34"/>
          <w:szCs w:val="34"/>
          <w:rtl/>
        </w:rPr>
      </w:pPr>
      <w:r w:rsidRPr="00A453D7">
        <w:rPr>
          <w:rFonts w:ascii="Bahij Lotus" w:hAnsi="Bahij Lotus" w:cs="Bahij Lotus" w:hint="cs"/>
          <w:b/>
          <w:bCs/>
          <w:sz w:val="34"/>
          <w:szCs w:val="34"/>
          <w:rtl/>
        </w:rPr>
        <w:t>دفاتر بيت المال</w:t>
      </w:r>
    </w:p>
    <w:p w:rsidR="006E5A82" w:rsidRPr="00AD2B5E" w:rsidRDefault="006E5A82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AD2B5E">
        <w:rPr>
          <w:rFonts w:ascii="Bahij Lotus" w:hAnsi="Bahij Lotus" w:cs="Bahij Lotus" w:hint="cs"/>
          <w:sz w:val="30"/>
          <w:szCs w:val="30"/>
          <w:rtl/>
        </w:rPr>
        <w:t xml:space="preserve">تمّ تصنيف سجلات التركات من طرف ألبير </w:t>
      </w:r>
      <w:proofErr w:type="spellStart"/>
      <w:r w:rsidRPr="00AD2B5E">
        <w:rPr>
          <w:rFonts w:ascii="Bahij Lotus" w:hAnsi="Bahij Lotus" w:cs="Bahij Lotus" w:hint="cs"/>
          <w:sz w:val="30"/>
          <w:szCs w:val="30"/>
          <w:rtl/>
        </w:rPr>
        <w:t>ﺩﻳﭭﻮ</w:t>
      </w:r>
      <w:proofErr w:type="spellEnd"/>
      <w:r w:rsidRPr="00AD2B5E">
        <w:rPr>
          <w:rFonts w:ascii="Bahij Lotus" w:hAnsi="Bahij Lotus" w:cs="Bahij Lotus" w:hint="cs"/>
          <w:sz w:val="30"/>
          <w:szCs w:val="30"/>
          <w:rtl/>
        </w:rPr>
        <w:t xml:space="preserve"> (</w:t>
      </w:r>
      <w:r w:rsidRPr="00AD2B5E">
        <w:rPr>
          <w:rFonts w:ascii="Bahij Lotus" w:hAnsi="Bahij Lotus" w:cs="Bahij Lotus"/>
          <w:sz w:val="30"/>
          <w:szCs w:val="30"/>
        </w:rPr>
        <w:t xml:space="preserve">Albert </w:t>
      </w:r>
      <w:proofErr w:type="spellStart"/>
      <w:r w:rsidRPr="00AD2B5E">
        <w:rPr>
          <w:rFonts w:ascii="Bahij Lotus" w:hAnsi="Bahij Lotus" w:cs="Bahij Lotus"/>
          <w:sz w:val="30"/>
          <w:szCs w:val="30"/>
        </w:rPr>
        <w:t>Devoulx</w:t>
      </w:r>
      <w:proofErr w:type="spellEnd"/>
      <w:r w:rsidRPr="00AD2B5E">
        <w:rPr>
          <w:rFonts w:ascii="Bahij Lotus" w:hAnsi="Bahij Lotus" w:cs="Bahij Lotus" w:hint="cs"/>
          <w:sz w:val="30"/>
          <w:szCs w:val="30"/>
          <w:rtl/>
        </w:rPr>
        <w:t xml:space="preserve">) محافظ </w:t>
      </w:r>
      <w:r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الوثائق العربية بمصلحة أملاك الدولة، فقد أعدّ فهرسًا</w:t>
      </w:r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</w:t>
      </w:r>
      <w:r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خاصًّا بالوثائق العثمانية بالجزائر </w:t>
      </w:r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في حدود </w:t>
      </w:r>
      <w:r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سنة 18</w:t>
      </w:r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6</w:t>
      </w:r>
      <w:r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0</w:t>
      </w:r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، و أفرد هذه الدفاتر في سلسلة بيت المال الّتي تضمّنت 64 سجلاً.</w:t>
      </w:r>
      <w:r w:rsidR="00E55D71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كما</w:t>
      </w:r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</w:t>
      </w:r>
      <w:r w:rsidR="00E55D71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قام</w:t>
      </w:r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جان دونيه (</w:t>
      </w:r>
      <w:r w:rsidR="0095678A" w:rsidRPr="00AD2B5E">
        <w:rPr>
          <w:rFonts w:ascii="Bahij Lotus" w:hAnsi="Bahij Lotus" w:cs="Bahij Lotus"/>
          <w:sz w:val="30"/>
          <w:szCs w:val="30"/>
          <w:lang w:bidi="ar-DZ"/>
        </w:rPr>
        <w:t xml:space="preserve">Jean </w:t>
      </w:r>
      <w:proofErr w:type="spellStart"/>
      <w:r w:rsidR="0095678A" w:rsidRPr="00AD2B5E">
        <w:rPr>
          <w:rFonts w:ascii="Bahij Lotus" w:hAnsi="Bahij Lotus" w:cs="Bahij Lotus"/>
          <w:sz w:val="30"/>
          <w:szCs w:val="30"/>
          <w:lang w:bidi="ar-DZ"/>
        </w:rPr>
        <w:t>Deny</w:t>
      </w:r>
      <w:proofErr w:type="spellEnd"/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) </w:t>
      </w:r>
      <w:r w:rsidR="00E55D71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ب</w:t>
      </w:r>
      <w:r w:rsidR="0095678A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>ترقيمها، عندما قام بتصنيف الوثائق الجزائرية العائدة لفترة ما قبل الاحتلال في سنة 1921 ؛ بيد أنّ الترقيم لم يحترم فيما بعد، إذ وزّعت في مرحلة لاحقة على 11 علبة دون مراعاة أي ترتيب منهجي.</w:t>
      </w:r>
      <w:r w:rsidR="00E55D71" w:rsidRPr="00AD2B5E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و قد وضع لها القائمون على الأرشيف الجزائري حاليًا فهرسًا خاصًّا اعتمادًا على الوضع الّذي آلت إليه.</w:t>
      </w:r>
    </w:p>
    <w:p w:rsidR="003E0DD4" w:rsidRDefault="00EB5F2C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-3"/>
          <w:sz w:val="30"/>
          <w:szCs w:val="30"/>
          <w:rtl/>
          <w:lang w:bidi="ar-DZ"/>
        </w:rPr>
      </w:pPr>
      <w:r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الم</w:t>
      </w:r>
      <w:r w:rsidR="00E55D71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لفت للانتباه فيما يخصّ هذه الدفاتر أنّ ربعها فقط (حوالي 17 دفترًا</w:t>
      </w:r>
      <w:r w:rsidR="003E0DD4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) </w:t>
      </w:r>
      <w:r w:rsidR="00E55D71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يعود للفترة العثمانية، </w:t>
      </w:r>
      <w:r w:rsidR="003E0DD4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حيث يعود أقدمها إلى سنة 1111</w:t>
      </w:r>
      <w:r w:rsidR="003E0DD4" w:rsidRPr="00AD2B5E">
        <w:rPr>
          <w:rFonts w:ascii="Bahij Lotus" w:hAnsi="Bahij Lotus" w:cs="Bahij Lotus"/>
          <w:spacing w:val="-3"/>
          <w:sz w:val="30"/>
          <w:szCs w:val="30"/>
          <w:rtl/>
          <w:lang w:bidi="ar-DZ"/>
        </w:rPr>
        <w:t>ﻫ</w:t>
      </w:r>
      <w:r w:rsidR="003E0DD4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/1699م ؛ </w:t>
      </w:r>
      <w:r w:rsidR="00E55D71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أمّا البقية</w:t>
      </w:r>
      <w:r w:rsidR="003E0DD4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،</w:t>
      </w:r>
      <w:r w:rsidR="00E55D71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 ف</w:t>
      </w:r>
      <w:r w:rsidR="003E0DD4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ت</w:t>
      </w:r>
      <w:r w:rsidR="00E55D71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غطّي العقود الأولى من الفترة الاستعمارية. </w:t>
      </w:r>
      <w:r w:rsidR="003E0DD4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و هي في أغلبها تتعلّق بمدينة الجزائر و الجهات القريبة منها، و القليل منها يخصّ مدنًا جزائرية أخرى. و تتضمّن </w:t>
      </w:r>
      <w:r w:rsidR="00FA2C7B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ال</w:t>
      </w:r>
      <w:r w:rsidR="003E0DD4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دفاتر </w:t>
      </w:r>
      <w:r w:rsidR="00142C08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معلومات </w:t>
      </w:r>
      <w:r w:rsidR="00A474E3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حول </w:t>
      </w:r>
      <w:r w:rsidR="00FA2C7B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ال</w:t>
      </w:r>
      <w:r w:rsidR="00A474E3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أملاك </w:t>
      </w:r>
      <w:r w:rsidR="00FA2C7B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ال</w:t>
      </w:r>
      <w:r w:rsidR="00A474E3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م</w:t>
      </w:r>
      <w:r w:rsidR="00FA2C7B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حبّس</w:t>
      </w:r>
      <w:r w:rsidR="00A474E3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ة</w:t>
      </w:r>
      <w:r w:rsidR="00FA2C7B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 المشتركة مع مؤسسة الأوقاف مع تحديد</w:t>
      </w:r>
      <w:r w:rsidR="00A474E3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 المؤسّسات الخيرية المشرفة عليها</w:t>
      </w:r>
      <w:r w:rsidR="00FA2C7B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 و عوائدها</w:t>
      </w:r>
      <w:r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 xml:space="preserve"> و نفقات صيانتها </w:t>
      </w:r>
      <w:r w:rsidR="00FA2C7B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تحت اعتماد بيت المال</w:t>
      </w:r>
      <w:r w:rsidR="00A474E3" w:rsidRPr="00AD2B5E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، كما تحتوي على تسجيلات لأمانات و ودائع بيت المال و قوائم بالأملاك العقارية، و أحكام خاصّة بالتركات و حصص بيت المال فيها.</w:t>
      </w:r>
    </w:p>
    <w:p w:rsidR="00A453D7" w:rsidRPr="00AD2B5E" w:rsidRDefault="00A453D7" w:rsidP="00A453D7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-3"/>
          <w:sz w:val="30"/>
          <w:szCs w:val="30"/>
          <w:rtl/>
          <w:lang w:bidi="ar-DZ"/>
        </w:rPr>
      </w:pPr>
      <w:bookmarkStart w:id="0" w:name="_GoBack"/>
      <w:bookmarkEnd w:id="0"/>
    </w:p>
    <w:p w:rsidR="00A474E3" w:rsidRPr="00AD2B5E" w:rsidRDefault="00A453D7" w:rsidP="00A453D7">
      <w:pPr>
        <w:bidi/>
        <w:spacing w:after="120" w:line="276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A453D7">
        <w:rPr>
          <w:rFonts w:ascii="Bahij Lotus" w:hAnsi="Bahij Lotus" w:cs="Bahij Lotus"/>
          <w:noProof/>
          <w:sz w:val="30"/>
          <w:szCs w:val="30"/>
          <w:rtl/>
          <w:lang w:eastAsia="fr-FR"/>
        </w:rPr>
        <w:drawing>
          <wp:inline distT="0" distB="0" distL="0" distR="0">
            <wp:extent cx="5760290" cy="7789333"/>
            <wp:effectExtent l="0" t="0" r="0" b="2540"/>
            <wp:docPr id="1" name="Image 1" descr="C:\Users\PC\AppData\Local\Temp\_TS2E5.tmp\_TS1B7.tm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_TS2E5.tmp\_TS1B7.tmp\Untitled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"/>
                    <a:stretch/>
                  </pic:blipFill>
                  <pic:spPr bwMode="auto">
                    <a:xfrm>
                      <a:off x="0" y="0"/>
                      <a:ext cx="5760720" cy="778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3D7" w:rsidRDefault="00A453D7" w:rsidP="00AD2B5E">
      <w:pPr>
        <w:bidi/>
        <w:spacing w:after="120" w:line="276" w:lineRule="auto"/>
        <w:jc w:val="both"/>
        <w:rPr>
          <w:rFonts w:ascii="Bahij Lotus" w:hAnsi="Bahij Lotus" w:cs="Bahij Lotus"/>
          <w:b/>
          <w:bCs/>
          <w:sz w:val="34"/>
          <w:szCs w:val="34"/>
          <w:rtl/>
          <w:lang w:bidi="ar-DZ"/>
        </w:rPr>
      </w:pPr>
    </w:p>
    <w:p w:rsidR="00A453D7" w:rsidRDefault="00A453D7" w:rsidP="00A453D7">
      <w:pPr>
        <w:bidi/>
        <w:spacing w:after="120" w:line="276" w:lineRule="auto"/>
        <w:jc w:val="both"/>
        <w:rPr>
          <w:rFonts w:ascii="Bahij Lotus" w:hAnsi="Bahij Lotus" w:cs="Bahij Lotus"/>
          <w:b/>
          <w:bCs/>
          <w:sz w:val="34"/>
          <w:szCs w:val="34"/>
          <w:rtl/>
          <w:lang w:bidi="ar-DZ"/>
        </w:rPr>
      </w:pPr>
    </w:p>
    <w:p w:rsidR="00A453D7" w:rsidRDefault="00A453D7" w:rsidP="00A453D7">
      <w:pPr>
        <w:bidi/>
        <w:spacing w:after="120" w:line="276" w:lineRule="auto"/>
        <w:jc w:val="center"/>
        <w:rPr>
          <w:rFonts w:ascii="Bahij Lotus" w:hAnsi="Bahij Lotus" w:cs="Bahij Lotus"/>
          <w:b/>
          <w:bCs/>
          <w:sz w:val="34"/>
          <w:szCs w:val="34"/>
          <w:rtl/>
          <w:lang w:bidi="ar-DZ"/>
        </w:rPr>
      </w:pPr>
      <w:r w:rsidRPr="00A453D7">
        <w:rPr>
          <w:rFonts w:ascii="Bahij Lotus" w:hAnsi="Bahij Lotus" w:cs="Bahij Lotus"/>
          <w:b/>
          <w:bCs/>
          <w:noProof/>
          <w:sz w:val="34"/>
          <w:szCs w:val="34"/>
          <w:rtl/>
          <w:lang w:eastAsia="fr-FR"/>
        </w:rPr>
        <w:drawing>
          <wp:inline distT="0" distB="0" distL="0" distR="0">
            <wp:extent cx="5760720" cy="8228960"/>
            <wp:effectExtent l="0" t="0" r="0" b="1270"/>
            <wp:docPr id="2" name="Image 2" descr="C:\Users\PC\AppData\Local\Temp\_TS2E5.tmp\_TS1B9.tm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_TS2E5.tmp\_TS1B9.tmp\Untitled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4E3" w:rsidRPr="00A453D7" w:rsidRDefault="00A474E3" w:rsidP="00A453D7">
      <w:pPr>
        <w:bidi/>
        <w:spacing w:after="120" w:line="276" w:lineRule="auto"/>
        <w:jc w:val="both"/>
        <w:rPr>
          <w:rFonts w:ascii="Bahij Lotus" w:hAnsi="Bahij Lotus" w:cs="Bahij Lotus"/>
          <w:b/>
          <w:bCs/>
          <w:sz w:val="34"/>
          <w:szCs w:val="34"/>
          <w:rtl/>
          <w:lang w:bidi="ar-DZ"/>
        </w:rPr>
      </w:pPr>
      <w:r w:rsidRPr="00A453D7">
        <w:rPr>
          <w:rFonts w:ascii="Bahij Lotus" w:hAnsi="Bahij Lotus" w:cs="Bahij Lotus" w:hint="cs"/>
          <w:b/>
          <w:bCs/>
          <w:sz w:val="34"/>
          <w:szCs w:val="34"/>
          <w:rtl/>
          <w:lang w:bidi="ar-DZ"/>
        </w:rPr>
        <w:lastRenderedPageBreak/>
        <w:t>طبيعة الدفاتر</w:t>
      </w:r>
    </w:p>
    <w:p w:rsidR="00A474E3" w:rsidRPr="00AD2B5E" w:rsidRDefault="00A474E3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-2"/>
          <w:sz w:val="30"/>
          <w:szCs w:val="30"/>
          <w:rtl/>
          <w:lang w:bidi="ar-DZ"/>
        </w:rPr>
      </w:pP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تتميّز تقييدات التركات بدقّة الضبط، حيث تحصى</w:t>
      </w:r>
      <w:r w:rsidR="0073539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فيها كلّ صغيرة و كبيرة، و قد ي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تطلّب جردها </w:t>
      </w:r>
      <w:r w:rsidR="0073539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أحيانًا بالنسبة للتركات الكبيرة 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أكثر من ورقة و </w:t>
      </w:r>
      <w:r w:rsidR="0073539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تذييلها بتتمة. و من حيث صياغتها الشكلية، تبدأ الدفاتر بذكر اسم المتوفّى، و نسبه و مهنته إن وجدت، ثمّ ذكر مكان المتوفّى، فحالته الشخصية (متزوّجًا كان أم أعزب...)، و أخيرًا ورثته ؛ و </w:t>
      </w:r>
      <w:r w:rsidR="00F12D44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</w:t>
      </w:r>
      <w:r w:rsidR="0073539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ذكر </w:t>
      </w:r>
      <w:r w:rsidR="00F12D44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السنة الهجرية و </w:t>
      </w:r>
      <w:r w:rsidR="0073539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عادةً الشهر الّذي قيّد فيه المتروك دون أن يذكر اليوم، بل يحدّد بصيغة (أوائل </w:t>
      </w:r>
      <w:r w:rsidR="00735392" w:rsidRPr="00AD2B5E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>–</w:t>
      </w:r>
      <w:r w:rsidR="0073539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أواسط </w:t>
      </w:r>
      <w:r w:rsidR="00735392" w:rsidRPr="00AD2B5E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>–</w:t>
      </w:r>
      <w:r w:rsidR="0073539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أواخر)، </w:t>
      </w:r>
      <w:r w:rsidR="00F12D44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و يتلو ذلك حصر التركة و ما تحتويه من أغراض و حوائج مهما كان حجمها و ثمنها ؛ </w:t>
      </w:r>
      <w:r w:rsidR="00C25087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 بعد جمع المبالغ المحصّلة، يتمّ اقتطاع الديون إن وجدت من المبلغ الإجمالي، إلى جانب تكاليف الدفن و الصداق و كذلك ما يتبقى من نصيب بيت المال.</w:t>
      </w:r>
    </w:p>
    <w:p w:rsidR="00A958A6" w:rsidRPr="00AD2B5E" w:rsidRDefault="00C25087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-2"/>
          <w:sz w:val="30"/>
          <w:szCs w:val="30"/>
          <w:rtl/>
          <w:lang w:bidi="ar-DZ"/>
        </w:rPr>
      </w:pPr>
      <w:r w:rsidRPr="00AD2B5E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 إنّه ليس من اليسير على الباحث فكّ جميع رموز هذا النوع من الوثائق، نظرًا لطبيعة الخطّ الّذي دوّنت به و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طرقة كتابة أرقامها</w:t>
      </w:r>
      <w:r w:rsidR="00A958A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و كذلك اللغة العربية الّتي كتبت بها تلك الدفاتر جاءت مشوبة في الكثير من الأحيان بألفاظ دارجة عفا عنها الزمن يصعب فهمها و تستلزم اللجوء إلى المعاجم القديمة المتخصّصة.</w:t>
      </w:r>
      <w:r w:rsidR="004269E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</w:t>
      </w:r>
      <w:r w:rsidR="00A958A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تتميّز الدفاتر أيضًا </w:t>
      </w:r>
      <w:r w:rsidR="00C00D72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بعدم ترتيبها للحوائج المتروكة من قبل الهالك، ممّا لا يتيح التعرّف على توزيع الأشياء في الغرف</w:t>
      </w:r>
      <w:r w:rsidR="004269E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.</w:t>
      </w:r>
    </w:p>
    <w:p w:rsidR="004269E6" w:rsidRPr="00AD2B5E" w:rsidRDefault="004269E6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-2"/>
          <w:sz w:val="30"/>
          <w:szCs w:val="30"/>
          <w:rtl/>
          <w:lang w:bidi="ar-DZ"/>
        </w:rPr>
      </w:pPr>
    </w:p>
    <w:p w:rsidR="004269E6" w:rsidRPr="00A453D7" w:rsidRDefault="004269E6" w:rsidP="00AD2B5E">
      <w:pPr>
        <w:bidi/>
        <w:spacing w:after="120" w:line="276" w:lineRule="auto"/>
        <w:jc w:val="both"/>
        <w:rPr>
          <w:rFonts w:ascii="Bahij Lotus" w:hAnsi="Bahij Lotus" w:cs="Bahij Lotus"/>
          <w:b/>
          <w:bCs/>
          <w:spacing w:val="-2"/>
          <w:sz w:val="34"/>
          <w:szCs w:val="34"/>
          <w:rtl/>
          <w:lang w:bidi="ar-DZ"/>
        </w:rPr>
      </w:pPr>
      <w:r w:rsidRPr="00A453D7">
        <w:rPr>
          <w:rFonts w:ascii="Bahij Lotus" w:hAnsi="Bahij Lotus" w:cs="Bahij Lotus" w:hint="cs"/>
          <w:b/>
          <w:bCs/>
          <w:spacing w:val="-2"/>
          <w:sz w:val="34"/>
          <w:szCs w:val="34"/>
          <w:rtl/>
          <w:lang w:bidi="ar-DZ"/>
        </w:rPr>
        <w:t>أهمّية الدفاتر</w:t>
      </w:r>
    </w:p>
    <w:p w:rsidR="004269E6" w:rsidRPr="00AD2B5E" w:rsidRDefault="000C055E" w:rsidP="00AD2B5E">
      <w:pPr>
        <w:bidi/>
        <w:spacing w:after="120" w:line="276" w:lineRule="auto"/>
        <w:ind w:firstLine="284"/>
        <w:jc w:val="both"/>
        <w:rPr>
          <w:rFonts w:ascii="Bahij Lotus" w:hAnsi="Bahij Lotus" w:cs="Bahij Lotus"/>
          <w:spacing w:val="-2"/>
          <w:sz w:val="30"/>
          <w:szCs w:val="30"/>
          <w:lang w:bidi="ar-DZ"/>
        </w:rPr>
      </w:pP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لم يكن فرناند </w:t>
      </w:r>
      <w:proofErr w:type="spellStart"/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بروديل</w:t>
      </w:r>
      <w:proofErr w:type="spellEnd"/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(</w:t>
      </w:r>
      <w:r w:rsidRPr="00AD2B5E">
        <w:rPr>
          <w:rFonts w:ascii="Bahij Lotus" w:hAnsi="Bahij Lotus" w:cs="Bahij Lotus"/>
          <w:spacing w:val="-2"/>
          <w:sz w:val="30"/>
          <w:szCs w:val="30"/>
          <w:lang w:bidi="ar-DZ"/>
        </w:rPr>
        <w:t>Fernand Braudel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) ليصف دفاتر التركات بوثائق الحقيقة إن لم يطّلع </w:t>
      </w:r>
      <w:r w:rsidR="00EB5F2C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</w:t>
      </w:r>
      <w:r w:rsidR="00EB5F2C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ى 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ما تحتويه تلك الوثائق من معطيات بالغة الأهمّية يجعلها مصدرًا أساسيًا لا غنى عنه في دراسة حياة المجتمع اجتماعيًا و اقتصاديًا من حيث أنواع </w:t>
      </w:r>
      <w:r w:rsidR="00893E1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المأكل و 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الألبسة و المقتنيات، مستويات الغنى و الفقر، التركيبة </w:t>
      </w:r>
      <w:r w:rsidRPr="00AD2B5E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السكّانية للمجتمع، طبيعة ثروات الأفراد و معاملاتهم المالية</w:t>
      </w:r>
      <w:r w:rsidR="00893E16" w:rsidRPr="00AD2B5E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 (التجارية بالمقام الأوّل، إلى جانب الأكرية</w:t>
      </w:r>
      <w:r w:rsidR="00893E1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و الديون)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، تطوّر قيّم العملة و </w:t>
      </w:r>
      <w:r w:rsidR="00893E1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</w:t>
      </w:r>
      <w:r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أسعار</w:t>
      </w:r>
      <w:r w:rsidR="00893E16" w:rsidRPr="00AD2B5E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، إلخ.</w:t>
      </w:r>
    </w:p>
    <w:sectPr w:rsidR="004269E6" w:rsidRPr="00AD2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B6"/>
    <w:rsid w:val="00016100"/>
    <w:rsid w:val="000C055E"/>
    <w:rsid w:val="000C1AC7"/>
    <w:rsid w:val="000D593B"/>
    <w:rsid w:val="00125174"/>
    <w:rsid w:val="00131306"/>
    <w:rsid w:val="00142C08"/>
    <w:rsid w:val="00261EC7"/>
    <w:rsid w:val="003E0DD4"/>
    <w:rsid w:val="003E2FFA"/>
    <w:rsid w:val="004269E6"/>
    <w:rsid w:val="00465AA1"/>
    <w:rsid w:val="00500977"/>
    <w:rsid w:val="00577B8D"/>
    <w:rsid w:val="006E5A82"/>
    <w:rsid w:val="0072012A"/>
    <w:rsid w:val="00735392"/>
    <w:rsid w:val="00741FB6"/>
    <w:rsid w:val="007450DE"/>
    <w:rsid w:val="00893E16"/>
    <w:rsid w:val="008A3DD9"/>
    <w:rsid w:val="0095678A"/>
    <w:rsid w:val="009C0D1A"/>
    <w:rsid w:val="009E10E3"/>
    <w:rsid w:val="00A453D7"/>
    <w:rsid w:val="00A474E3"/>
    <w:rsid w:val="00A6402C"/>
    <w:rsid w:val="00A8218D"/>
    <w:rsid w:val="00A958A6"/>
    <w:rsid w:val="00A95BA4"/>
    <w:rsid w:val="00AD2B5E"/>
    <w:rsid w:val="00B85D43"/>
    <w:rsid w:val="00BE60AD"/>
    <w:rsid w:val="00C00D72"/>
    <w:rsid w:val="00C25087"/>
    <w:rsid w:val="00D50731"/>
    <w:rsid w:val="00E55D71"/>
    <w:rsid w:val="00EA29C5"/>
    <w:rsid w:val="00EB5F2C"/>
    <w:rsid w:val="00F12D44"/>
    <w:rsid w:val="00FA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69C3"/>
  <w15:chartTrackingRefBased/>
  <w15:docId w15:val="{E85449C8-178E-46E0-A9F8-8D4DC2C0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5</Pages>
  <Words>742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9</cp:revision>
  <dcterms:created xsi:type="dcterms:W3CDTF">2018-04-21T20:40:00Z</dcterms:created>
  <dcterms:modified xsi:type="dcterms:W3CDTF">2023-03-25T11:32:00Z</dcterms:modified>
</cp:coreProperties>
</file>