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63" w:rsidRPr="00A87963" w:rsidRDefault="00A87963" w:rsidP="00A87963">
      <w:pPr>
        <w:bidi/>
        <w:spacing w:after="120" w:line="276" w:lineRule="auto"/>
        <w:jc w:val="center"/>
        <w:rPr>
          <w:rFonts w:ascii="Bahij Lotus" w:hAnsi="Bahij Lotus" w:cs="Bahij Lotus"/>
          <w:sz w:val="30"/>
          <w:szCs w:val="30"/>
          <w:rtl/>
          <w:lang w:bidi="ar-DZ"/>
        </w:rPr>
      </w:pPr>
    </w:p>
    <w:p w:rsidR="002F1CD4" w:rsidRPr="002A3988" w:rsidRDefault="00682919" w:rsidP="00A87963">
      <w:pPr>
        <w:bidi/>
        <w:spacing w:after="120" w:line="276" w:lineRule="auto"/>
        <w:jc w:val="center"/>
        <w:rPr>
          <w:rFonts w:ascii="Bahij Lotus" w:hAnsi="Bahij Lotus" w:cs="Bahij Lotus"/>
          <w:b/>
          <w:bCs/>
          <w:sz w:val="38"/>
          <w:szCs w:val="38"/>
          <w:rtl/>
          <w:lang w:bidi="ar-DZ"/>
        </w:rPr>
      </w:pPr>
      <w:r w:rsidRPr="002A3988">
        <w:rPr>
          <w:rFonts w:ascii="Bahij Lotus" w:hAnsi="Bahij Lotus" w:cs="Bahij Lotus" w:hint="cs"/>
          <w:b/>
          <w:bCs/>
          <w:sz w:val="38"/>
          <w:szCs w:val="38"/>
          <w:rtl/>
          <w:lang w:bidi="ar-DZ"/>
        </w:rPr>
        <w:t>سجلات البايلك</w:t>
      </w:r>
    </w:p>
    <w:p w:rsidR="00682919" w:rsidRPr="00A87963" w:rsidRDefault="00682919" w:rsidP="00A87963">
      <w:pPr>
        <w:bidi/>
        <w:spacing w:after="120" w:line="276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</w:p>
    <w:p w:rsidR="00682919" w:rsidRPr="00A87963" w:rsidRDefault="00682919" w:rsidP="00A87963">
      <w:pPr>
        <w:bidi/>
        <w:spacing w:after="120" w:line="276" w:lineRule="auto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</w:p>
    <w:p w:rsidR="00682919" w:rsidRPr="00A87963" w:rsidRDefault="00682919" w:rsidP="00A87963">
      <w:pPr>
        <w:bidi/>
        <w:spacing w:after="120" w:line="276" w:lineRule="auto"/>
        <w:ind w:firstLine="283"/>
        <w:jc w:val="both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  <w:r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هذه السجلات في أغلبها تقاييد لأملاك موقوفة (وقفيات)، و جداول نفقات و مداخيل الخزينة و تسجيل </w:t>
      </w:r>
      <w:r w:rsidR="007021FD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القضايا </w:t>
      </w:r>
      <w:r w:rsidR="007021FD" w:rsidRPr="00A87963">
        <w:rPr>
          <w:rFonts w:ascii="Bahij Lotus" w:hAnsi="Bahij Lotus" w:cs="Bahij Lotus" w:hint="cs"/>
          <w:spacing w:val="6"/>
          <w:sz w:val="30"/>
          <w:szCs w:val="30"/>
          <w:rtl/>
          <w:lang w:bidi="ar-DZ"/>
        </w:rPr>
        <w:t>المتعلّقة بالمعاملات و ضبط أعمال المصالح الإدارية و الخدمات الاجتماعية و الاقتصادية، داخل مدينة الجزائر و</w:t>
      </w:r>
      <w:r w:rsidR="007021FD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 خارجها ؛ فمنها قسم هامّ متّصل بقضايا الوقف و المعاملات الخاصّة بالمدن المجاورة للعاصمة، كالبليدة و القليعة و المدية و مليانة و شرشال، بالإضافة إلى أوطان دار السلطان (سهل </w:t>
      </w:r>
      <w:proofErr w:type="spellStart"/>
      <w:r w:rsidR="007021FD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>متيجة</w:t>
      </w:r>
      <w:proofErr w:type="spellEnd"/>
      <w:r w:rsidR="007021FD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>).</w:t>
      </w:r>
    </w:p>
    <w:p w:rsidR="007021FD" w:rsidRPr="00A87963" w:rsidRDefault="007021FD" w:rsidP="00A87963">
      <w:pPr>
        <w:bidi/>
        <w:spacing w:after="120" w:line="276" w:lineRule="auto"/>
        <w:ind w:firstLine="283"/>
        <w:jc w:val="both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  <w:r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>تتوزّع سجلات البايلك على 36 علبة تشتمل على 386 سجلاً، أقدم المعلومات المسجّلة بها تعود إلى العام 1066</w:t>
      </w:r>
      <w:r w:rsidRPr="00A87963">
        <w:rPr>
          <w:rFonts w:ascii="Bahij Lotus" w:hAnsi="Bahij Lotus" w:cs="Bahij Lotus"/>
          <w:spacing w:val="3"/>
          <w:sz w:val="30"/>
          <w:szCs w:val="30"/>
          <w:rtl/>
          <w:lang w:bidi="ar-DZ"/>
        </w:rPr>
        <w:t>ﻫ</w:t>
      </w:r>
      <w:r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>/1656م، و جلّها يعود إلى القرن الأخير من العهد العثماني ؛ و رغم أهمّية محتواها للتعرّف على واقع الجزائر الإداري و الاقتصادي و الاجتماعي، إلاّ أنّها تعرّضت كباقي الوثائق العثمانية إلى الإهمال</w:t>
      </w:r>
      <w:r w:rsidR="00426710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>، و ضاع جزءٌ منها بفعل الفوضى الّتي أعقبت سقوط مدينة الجزائر.</w:t>
      </w:r>
    </w:p>
    <w:p w:rsidR="002A281E" w:rsidRDefault="00426710" w:rsidP="00A87963">
      <w:pPr>
        <w:bidi/>
        <w:spacing w:after="120" w:line="276" w:lineRule="auto"/>
        <w:ind w:firstLine="283"/>
        <w:jc w:val="both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  <w:r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صنّفت دفاتر البايلك مع بقية الوثائق العثمانية بالجزائر، بما في ذلك دفاتر بيت المال و الأوقاف، في الفهرس الخاصّ الّذي وضعه محافظ الأرشيف العربي ألبير </w:t>
      </w:r>
      <w:proofErr w:type="spellStart"/>
      <w:r w:rsidRPr="00A87963">
        <w:rPr>
          <w:rFonts w:ascii="Bahij Lotus" w:hAnsi="Bahij Lotus" w:cs="Bahij Lotus"/>
          <w:spacing w:val="3"/>
          <w:sz w:val="30"/>
          <w:szCs w:val="30"/>
          <w:rtl/>
          <w:lang w:bidi="ar-DZ"/>
        </w:rPr>
        <w:t>ﺩﻳﭭﻮ</w:t>
      </w:r>
      <w:proofErr w:type="spellEnd"/>
      <w:r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 (1850) ؛ و لقد أودع قسم منها و المتمثّل في دفاتر مواجبات الإنكشارية سنة 1852 بمكتبة الجزائر (المكتبة الوطنية الجزائرية حاليًا). أمّا باق الرصيد، فقام دوني بتحديد أرقام</w:t>
      </w:r>
      <w:r w:rsidR="0050652C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 سجلات</w:t>
      </w:r>
      <w:r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ه </w:t>
      </w:r>
      <w:r w:rsidR="0050652C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>في فهرسته الموضوعية (1921)، حيث تبيّن لنا أنّه حدث دمج سجلات البايلك و سجلات الأوقاف ضمن فهرس واحد، فمن أصل 508 سجل يضمّه هذا الرصيد، حوالي 181 فقط يعود إلى إدارة البايلك (</w:t>
      </w:r>
      <w:r w:rsidR="00EA281A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فيما يخصّه، </w:t>
      </w:r>
      <w:r w:rsidR="0050652C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>أفرد دوني 144 سجل لقسم "البايلك")، و ما يقرب من 300 سجل يخصّ إدارة الأوقاف و المؤسّسات الدينية، و البقية الباقية عبارة عن دفاتر خوّاص و مخطوطات متنوّعة.</w:t>
      </w:r>
      <w:r w:rsidR="00EA281A" w:rsidRPr="00A87963">
        <w:rPr>
          <w:rFonts w:ascii="Bahij Lotus" w:hAnsi="Bahij Lotus" w:cs="Bahij Lotus" w:hint="cs"/>
          <w:spacing w:val="3"/>
          <w:sz w:val="30"/>
          <w:szCs w:val="30"/>
          <w:rtl/>
          <w:lang w:bidi="ar-DZ"/>
        </w:rPr>
        <w:t xml:space="preserve"> و يمكن التأكّد من ذلك بالرجوع إلى الفهرسة المنهجية الّتي ضبطها الباحث و المؤرّخ التونسي عبد الجليل التميمي في "موجز الدفاتر العربية و التركية للجزائر". </w:t>
      </w:r>
    </w:p>
    <w:p w:rsidR="009D3B39" w:rsidRDefault="009D3B39" w:rsidP="009D3B39">
      <w:pPr>
        <w:bidi/>
        <w:spacing w:after="120" w:line="276" w:lineRule="auto"/>
        <w:ind w:firstLine="283"/>
        <w:jc w:val="both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</w:p>
    <w:p w:rsidR="009D3B39" w:rsidRDefault="009D3B39" w:rsidP="009D3B39">
      <w:pPr>
        <w:bidi/>
        <w:spacing w:after="120" w:line="276" w:lineRule="auto"/>
        <w:ind w:firstLine="283"/>
        <w:jc w:val="both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</w:p>
    <w:p w:rsidR="00623004" w:rsidRDefault="00623004" w:rsidP="00623004">
      <w:pPr>
        <w:bidi/>
        <w:spacing w:after="120" w:line="276" w:lineRule="auto"/>
        <w:jc w:val="center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  <w:r w:rsidRPr="00623004">
        <w:rPr>
          <w:rFonts w:ascii="Bahij Lotus" w:hAnsi="Bahij Lotus" w:cs="Bahij Lotus"/>
          <w:noProof/>
          <w:spacing w:val="3"/>
          <w:sz w:val="30"/>
          <w:szCs w:val="30"/>
          <w:rtl/>
          <w:lang w:eastAsia="fr-FR"/>
        </w:rPr>
        <w:drawing>
          <wp:inline distT="0" distB="0" distL="0" distR="0">
            <wp:extent cx="5760720" cy="7272866"/>
            <wp:effectExtent l="0" t="0" r="0" b="4445"/>
            <wp:docPr id="4" name="Image 4" descr="C:\Users\PC\AppData\Local\Temp\_TS2E5.tmp\_TS1B5.tmp\Untitled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_TS2E5.tmp\_TS1B5.tmp\Untitled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7" b="1675"/>
                    <a:stretch/>
                  </pic:blipFill>
                  <pic:spPr bwMode="auto">
                    <a:xfrm>
                      <a:off x="0" y="0"/>
                      <a:ext cx="5760720" cy="727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B39" w:rsidRDefault="009D3B39" w:rsidP="009D3B39">
      <w:pPr>
        <w:bidi/>
        <w:spacing w:after="120" w:line="276" w:lineRule="auto"/>
        <w:jc w:val="center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</w:p>
    <w:p w:rsidR="009D3B39" w:rsidRPr="00A87963" w:rsidRDefault="009D3B39" w:rsidP="009D3B39">
      <w:pPr>
        <w:bidi/>
        <w:spacing w:after="120" w:line="276" w:lineRule="auto"/>
        <w:jc w:val="center"/>
        <w:rPr>
          <w:rFonts w:ascii="Bahij Lotus" w:hAnsi="Bahij Lotus" w:cs="Bahij Lotus"/>
          <w:spacing w:val="3"/>
          <w:sz w:val="30"/>
          <w:szCs w:val="30"/>
          <w:rtl/>
          <w:lang w:bidi="ar-DZ"/>
        </w:rPr>
      </w:pPr>
    </w:p>
    <w:p w:rsidR="00623004" w:rsidRDefault="00623004" w:rsidP="00623004">
      <w:pPr>
        <w:bidi/>
        <w:spacing w:after="120" w:line="276" w:lineRule="auto"/>
        <w:jc w:val="center"/>
        <w:rPr>
          <w:rFonts w:ascii="Bahij Lotus" w:hAnsi="Bahij Lotus" w:cs="Bahij Lotus"/>
          <w:sz w:val="30"/>
          <w:szCs w:val="30"/>
          <w:rtl/>
          <w:lang w:bidi="ar-DZ"/>
        </w:rPr>
      </w:pPr>
      <w:r w:rsidRPr="00623004">
        <w:rPr>
          <w:rFonts w:ascii="Bahij Lotus" w:hAnsi="Bahij Lotus" w:cs="Bahij Lotus"/>
          <w:noProof/>
          <w:sz w:val="30"/>
          <w:szCs w:val="30"/>
          <w:rtl/>
          <w:lang w:eastAsia="fr-FR"/>
        </w:rPr>
        <w:drawing>
          <wp:inline distT="0" distB="0" distL="0" distR="0">
            <wp:extent cx="5784074" cy="8382000"/>
            <wp:effectExtent l="0" t="0" r="7620" b="0"/>
            <wp:docPr id="3" name="Image 3" descr="E:\دروس و محاضرات\محاضرات\أرشيف تاريخ الجزائر الحديث\007ملحق سجلات البايل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دروس و محاضرات\محاضرات\أرشيف تاريخ الجزائر الحديث\007ملحق سجلات البايلك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4" t="687" r="790" b="2110"/>
                    <a:stretch/>
                  </pic:blipFill>
                  <pic:spPr bwMode="auto">
                    <a:xfrm>
                      <a:off x="0" y="0"/>
                      <a:ext cx="5790023" cy="839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81E" w:rsidRDefault="002A281E" w:rsidP="00623004">
      <w:pPr>
        <w:bidi/>
        <w:spacing w:after="120" w:line="276" w:lineRule="auto"/>
        <w:ind w:firstLine="283"/>
        <w:jc w:val="both"/>
        <w:rPr>
          <w:rFonts w:ascii="Bahij Lotus" w:hAnsi="Bahij Lotus" w:cs="Bahij Lotus"/>
          <w:sz w:val="30"/>
          <w:szCs w:val="30"/>
          <w:rtl/>
          <w:lang w:bidi="ar-DZ"/>
        </w:rPr>
      </w:pPr>
      <w:bookmarkStart w:id="0" w:name="_GoBack"/>
      <w:bookmarkEnd w:id="0"/>
      <w:r w:rsidRPr="00A87963">
        <w:rPr>
          <w:rFonts w:ascii="Bahij Lotus" w:hAnsi="Bahij Lotus" w:cs="Bahij Lotus" w:hint="cs"/>
          <w:sz w:val="30"/>
          <w:szCs w:val="30"/>
          <w:rtl/>
          <w:lang w:bidi="ar-DZ"/>
        </w:rPr>
        <w:lastRenderedPageBreak/>
        <w:t xml:space="preserve">و فيما يلي نبذة عن بعض المواضيع المهمّة المتضمّنة في سجلات </w:t>
      </w:r>
      <w:proofErr w:type="spellStart"/>
      <w:r w:rsidRPr="00A87963">
        <w:rPr>
          <w:rFonts w:ascii="Bahij Lotus" w:hAnsi="Bahij Lotus" w:cs="Bahij Lotus" w:hint="cs"/>
          <w:sz w:val="30"/>
          <w:szCs w:val="30"/>
          <w:rtl/>
          <w:lang w:bidi="ar-DZ"/>
        </w:rPr>
        <w:t>البايلك</w:t>
      </w:r>
      <w:proofErr w:type="spellEnd"/>
      <w:r w:rsidR="00222B2C" w:rsidRPr="00222B2C">
        <w:rPr>
          <w:rFonts w:ascii="Bahij Lotus" w:hAnsi="Bahij Lotus" w:cs="Bahij Lotus" w:hint="cs"/>
          <w:sz w:val="30"/>
          <w:szCs w:val="30"/>
          <w:vertAlign w:val="superscript"/>
          <w:rtl/>
          <w:lang w:bidi="ar-DZ"/>
        </w:rPr>
        <w:t>(1)</w:t>
      </w:r>
      <w:r w:rsidRPr="00A87963">
        <w:rPr>
          <w:rFonts w:ascii="Bahij Lotus" w:hAnsi="Bahij Lotus" w:cs="Bahij Lotus" w:hint="cs"/>
          <w:sz w:val="30"/>
          <w:szCs w:val="30"/>
          <w:rtl/>
          <w:lang w:bidi="ar-DZ"/>
        </w:rPr>
        <w:t xml:space="preserve"> :</w:t>
      </w:r>
    </w:p>
    <w:p w:rsidR="00287756" w:rsidRDefault="00287756" w:rsidP="00287756">
      <w:pPr>
        <w:bidi/>
        <w:spacing w:after="120" w:line="276" w:lineRule="auto"/>
        <w:jc w:val="center"/>
        <w:rPr>
          <w:rFonts w:ascii="Bahij Lotus" w:hAnsi="Bahij Lotus" w:cs="Bahij Lotus"/>
          <w:sz w:val="30"/>
          <w:szCs w:val="30"/>
          <w:rtl/>
          <w:lang w:bidi="ar-DZ"/>
        </w:rPr>
      </w:pPr>
      <w:r w:rsidRPr="00287756">
        <w:rPr>
          <w:rFonts w:ascii="Bahij Lotus" w:hAnsi="Bahij Lotus" w:cs="Bahij Lotus"/>
          <w:noProof/>
          <w:sz w:val="30"/>
          <w:szCs w:val="30"/>
          <w:rtl/>
          <w:lang w:eastAsia="fr-FR"/>
        </w:rPr>
        <w:drawing>
          <wp:inline distT="0" distB="0" distL="0" distR="0">
            <wp:extent cx="5725795" cy="7391400"/>
            <wp:effectExtent l="0" t="0" r="8255" b="0"/>
            <wp:docPr id="1" name="Image 1" descr="C:\Users\PC\AppData\Local\Temp\_TS2E5.tmp\_TS1AE.tmp\Untitled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_TS2E5.tmp\_TS1AE.tmp\Untitled-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2934" r="1121" b="3686"/>
                    <a:stretch/>
                  </pic:blipFill>
                  <pic:spPr bwMode="auto">
                    <a:xfrm>
                      <a:off x="0" y="0"/>
                      <a:ext cx="5755144" cy="742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2B2C" w:rsidRPr="00222B2C" w:rsidRDefault="00222B2C" w:rsidP="00222B2C">
      <w:pPr>
        <w:bidi/>
        <w:spacing w:after="0" w:line="276" w:lineRule="auto"/>
        <w:jc w:val="center"/>
        <w:rPr>
          <w:rFonts w:ascii="Bahij Lotus" w:hAnsi="Bahij Lotus" w:cs="Bahij Lotus"/>
          <w:rtl/>
          <w:lang w:bidi="ar-DZ"/>
        </w:rPr>
      </w:pPr>
    </w:p>
    <w:p w:rsidR="00222B2C" w:rsidRPr="00222B2C" w:rsidRDefault="00222B2C" w:rsidP="00623004">
      <w:pPr>
        <w:bidi/>
        <w:spacing w:after="120" w:line="276" w:lineRule="auto"/>
        <w:jc w:val="both"/>
        <w:rPr>
          <w:rFonts w:ascii="Bahij Lotus" w:hAnsi="Bahij Lotus" w:cs="Bahij Lotus"/>
          <w:sz w:val="26"/>
          <w:szCs w:val="26"/>
          <w:rtl/>
          <w:lang w:bidi="ar-DZ"/>
        </w:rPr>
      </w:pPr>
      <w:r>
        <w:rPr>
          <w:rFonts w:ascii="Bahij Lotus" w:hAnsi="Bahij Lotus" w:cs="Bahij Lotus" w:hint="cs"/>
          <w:sz w:val="26"/>
          <w:szCs w:val="26"/>
          <w:rtl/>
          <w:lang w:bidi="ar-DZ"/>
        </w:rPr>
        <w:t xml:space="preserve">(1) ناصر الدين </w:t>
      </w:r>
      <w:proofErr w:type="spellStart"/>
      <w:r>
        <w:rPr>
          <w:rFonts w:ascii="Bahij Lotus" w:hAnsi="Bahij Lotus" w:cs="Bahij Lotus" w:hint="cs"/>
          <w:sz w:val="26"/>
          <w:szCs w:val="26"/>
          <w:rtl/>
          <w:lang w:bidi="ar-DZ"/>
        </w:rPr>
        <w:t>سعيدوني</w:t>
      </w:r>
      <w:proofErr w:type="spellEnd"/>
      <w:r>
        <w:rPr>
          <w:rFonts w:ascii="Bahij Lotus" w:hAnsi="Bahij Lotus" w:cs="Bahij Lotus" w:hint="cs"/>
          <w:sz w:val="26"/>
          <w:szCs w:val="26"/>
          <w:rtl/>
          <w:lang w:bidi="ar-DZ"/>
        </w:rPr>
        <w:t xml:space="preserve">، </w:t>
      </w:r>
      <w:r w:rsidRPr="00222B2C">
        <w:rPr>
          <w:rFonts w:ascii="Bahij Lotus" w:hAnsi="Bahij Lotus" w:cs="Bahij Lotus"/>
          <w:sz w:val="26"/>
          <w:szCs w:val="26"/>
          <w:rtl/>
          <w:lang w:bidi="ar-DZ"/>
        </w:rPr>
        <w:t>"</w:t>
      </w:r>
      <w:r w:rsidRPr="00662CD4">
        <w:rPr>
          <w:rFonts w:ascii="Bahij Lotus" w:hAnsi="Bahij Lotus" w:cs="Bahij Lotus" w:hint="cs"/>
          <w:b/>
          <w:bCs/>
          <w:sz w:val="26"/>
          <w:szCs w:val="26"/>
          <w:rtl/>
          <w:lang w:bidi="ar-DZ"/>
        </w:rPr>
        <w:t>وثائق</w:t>
      </w:r>
      <w:r w:rsidRPr="00662CD4">
        <w:rPr>
          <w:rFonts w:ascii="Bahij Lotus" w:hAnsi="Bahij Lotus" w:cs="Bahij Lotus"/>
          <w:b/>
          <w:bCs/>
          <w:sz w:val="26"/>
          <w:szCs w:val="26"/>
          <w:rtl/>
          <w:lang w:bidi="ar-DZ"/>
        </w:rPr>
        <w:t xml:space="preserve"> </w:t>
      </w:r>
      <w:r w:rsidRPr="00662CD4">
        <w:rPr>
          <w:rFonts w:ascii="Bahij Lotus" w:hAnsi="Bahij Lotus" w:cs="Bahij Lotus" w:hint="cs"/>
          <w:b/>
          <w:bCs/>
          <w:sz w:val="26"/>
          <w:szCs w:val="26"/>
          <w:rtl/>
          <w:lang w:bidi="ar-DZ"/>
        </w:rPr>
        <w:t>الأرشيف</w:t>
      </w:r>
      <w:r w:rsidRPr="00662CD4">
        <w:rPr>
          <w:rFonts w:ascii="Bahij Lotus" w:hAnsi="Bahij Lotus" w:cs="Bahij Lotus"/>
          <w:b/>
          <w:bCs/>
          <w:sz w:val="26"/>
          <w:szCs w:val="26"/>
          <w:rtl/>
          <w:lang w:bidi="ar-DZ"/>
        </w:rPr>
        <w:t xml:space="preserve"> </w:t>
      </w:r>
      <w:r w:rsidRPr="00662CD4">
        <w:rPr>
          <w:rFonts w:ascii="Bahij Lotus" w:hAnsi="Bahij Lotus" w:cs="Bahij Lotus" w:hint="cs"/>
          <w:b/>
          <w:bCs/>
          <w:sz w:val="26"/>
          <w:szCs w:val="26"/>
          <w:rtl/>
          <w:lang w:bidi="ar-DZ"/>
        </w:rPr>
        <w:t>الجزائري</w:t>
      </w:r>
      <w:r w:rsidRPr="00662CD4">
        <w:rPr>
          <w:rFonts w:ascii="Bahij Lotus" w:hAnsi="Bahij Lotus" w:cs="Bahij Lotus"/>
          <w:b/>
          <w:bCs/>
          <w:sz w:val="26"/>
          <w:szCs w:val="26"/>
          <w:rtl/>
          <w:lang w:bidi="ar-DZ"/>
        </w:rPr>
        <w:t xml:space="preserve"> </w:t>
      </w:r>
      <w:r w:rsidRPr="00662CD4">
        <w:rPr>
          <w:rFonts w:ascii="Bahij Lotus" w:hAnsi="Bahij Lotus" w:cs="Bahij Lotus" w:hint="cs"/>
          <w:b/>
          <w:bCs/>
          <w:sz w:val="26"/>
          <w:szCs w:val="26"/>
          <w:rtl/>
          <w:lang w:bidi="ar-DZ"/>
        </w:rPr>
        <w:t>المتعلّقة</w:t>
      </w:r>
      <w:r w:rsidRPr="00662CD4">
        <w:rPr>
          <w:rFonts w:ascii="Bahij Lotus" w:hAnsi="Bahij Lotus" w:cs="Bahij Lotus"/>
          <w:b/>
          <w:bCs/>
          <w:sz w:val="26"/>
          <w:szCs w:val="26"/>
          <w:rtl/>
          <w:lang w:bidi="ar-DZ"/>
        </w:rPr>
        <w:t xml:space="preserve"> </w:t>
      </w:r>
      <w:r w:rsidRPr="00662CD4">
        <w:rPr>
          <w:rFonts w:ascii="Bahij Lotus" w:hAnsi="Bahij Lotus" w:cs="Bahij Lotus" w:hint="cs"/>
          <w:b/>
          <w:bCs/>
          <w:sz w:val="26"/>
          <w:szCs w:val="26"/>
          <w:rtl/>
          <w:lang w:bidi="ar-DZ"/>
        </w:rPr>
        <w:t>بالفترة</w:t>
      </w:r>
      <w:r w:rsidRPr="00662CD4">
        <w:rPr>
          <w:rFonts w:ascii="Bahij Lotus" w:hAnsi="Bahij Lotus" w:cs="Bahij Lotus"/>
          <w:b/>
          <w:bCs/>
          <w:sz w:val="26"/>
          <w:szCs w:val="26"/>
          <w:rtl/>
          <w:lang w:bidi="ar-DZ"/>
        </w:rPr>
        <w:t xml:space="preserve"> </w:t>
      </w:r>
      <w:r w:rsidRPr="00662CD4">
        <w:rPr>
          <w:rFonts w:ascii="Bahij Lotus" w:hAnsi="Bahij Lotus" w:cs="Bahij Lotus" w:hint="cs"/>
          <w:b/>
          <w:bCs/>
          <w:sz w:val="26"/>
          <w:szCs w:val="26"/>
          <w:rtl/>
          <w:lang w:bidi="ar-DZ"/>
        </w:rPr>
        <w:t>العثمانية</w:t>
      </w:r>
      <w:r w:rsidRPr="00222B2C">
        <w:rPr>
          <w:rFonts w:ascii="Bahij Lotus" w:hAnsi="Bahij Lotus" w:cs="Bahij Lotus"/>
          <w:sz w:val="26"/>
          <w:szCs w:val="26"/>
          <w:rtl/>
          <w:lang w:bidi="ar-DZ"/>
        </w:rPr>
        <w:t>"</w:t>
      </w:r>
      <w:r w:rsidRPr="00222B2C">
        <w:rPr>
          <w:rFonts w:ascii="Bahij Lotus" w:hAnsi="Bahij Lotus" w:cs="Bahij Lotus" w:hint="cs"/>
          <w:sz w:val="26"/>
          <w:szCs w:val="26"/>
          <w:rtl/>
          <w:lang w:bidi="ar-DZ"/>
        </w:rPr>
        <w:t>،</w:t>
      </w:r>
      <w:r w:rsidRPr="00222B2C">
        <w:rPr>
          <w:rFonts w:ascii="Bahij Lotus" w:hAnsi="Bahij Lotus" w:cs="Bahij Lotus"/>
          <w:sz w:val="26"/>
          <w:szCs w:val="26"/>
          <w:rtl/>
          <w:lang w:bidi="ar-DZ"/>
        </w:rPr>
        <w:t xml:space="preserve"> </w:t>
      </w:r>
      <w:r w:rsidRPr="00222B2C">
        <w:rPr>
          <w:rFonts w:ascii="Bahij Lotus" w:hAnsi="Bahij Lotus" w:cs="Bahij Lotus" w:hint="cs"/>
          <w:sz w:val="26"/>
          <w:szCs w:val="26"/>
          <w:rtl/>
          <w:lang w:bidi="ar-DZ"/>
        </w:rPr>
        <w:t>في</w:t>
      </w:r>
      <w:r w:rsidRPr="00222B2C">
        <w:rPr>
          <w:rFonts w:ascii="Bahij Lotus" w:hAnsi="Bahij Lotus" w:cs="Bahij Lotus"/>
          <w:sz w:val="26"/>
          <w:szCs w:val="26"/>
          <w:rtl/>
          <w:lang w:bidi="ar-DZ"/>
        </w:rPr>
        <w:t xml:space="preserve"> : </w:t>
      </w:r>
      <w:r w:rsidRPr="00222B2C">
        <w:rPr>
          <w:rFonts w:ascii="Bahij Lotus" w:hAnsi="Bahij Lotus" w:cs="Bahij Lotus" w:hint="cs"/>
          <w:sz w:val="26"/>
          <w:szCs w:val="26"/>
          <w:rtl/>
          <w:lang w:bidi="ar-DZ"/>
        </w:rPr>
        <w:t>ورقات</w:t>
      </w:r>
      <w:r w:rsidRPr="00222B2C">
        <w:rPr>
          <w:rFonts w:ascii="Bahij Lotus" w:hAnsi="Bahij Lotus" w:cs="Bahij Lotus"/>
          <w:sz w:val="26"/>
          <w:szCs w:val="26"/>
          <w:rtl/>
          <w:lang w:bidi="ar-DZ"/>
        </w:rPr>
        <w:t xml:space="preserve"> </w:t>
      </w:r>
      <w:r w:rsidRPr="00222B2C">
        <w:rPr>
          <w:rFonts w:ascii="Bahij Lotus" w:hAnsi="Bahij Lotus" w:cs="Bahij Lotus" w:hint="cs"/>
          <w:sz w:val="26"/>
          <w:szCs w:val="26"/>
          <w:rtl/>
          <w:lang w:bidi="ar-DZ"/>
        </w:rPr>
        <w:t>جزائرية</w:t>
      </w:r>
      <w:r w:rsidR="00623004">
        <w:rPr>
          <w:rFonts w:ascii="Bahij Lotus" w:hAnsi="Bahij Lotus" w:cs="Bahij Lotus" w:hint="cs"/>
          <w:sz w:val="26"/>
          <w:szCs w:val="26"/>
          <w:rtl/>
          <w:lang w:bidi="ar-DZ"/>
        </w:rPr>
        <w:t>. دراسات وأبحاث في تاريخ الجزائر في العهد العثماني</w:t>
      </w:r>
      <w:r w:rsidRPr="00222B2C">
        <w:rPr>
          <w:rFonts w:ascii="Bahij Lotus" w:hAnsi="Bahij Lotus" w:cs="Bahij Lotus" w:hint="cs"/>
          <w:sz w:val="26"/>
          <w:szCs w:val="26"/>
          <w:rtl/>
          <w:lang w:bidi="ar-DZ"/>
        </w:rPr>
        <w:t>،</w:t>
      </w:r>
      <w:r>
        <w:rPr>
          <w:rFonts w:ascii="Bahij Lotus" w:hAnsi="Bahij Lotus" w:cs="Bahij Lotus" w:hint="cs"/>
          <w:sz w:val="26"/>
          <w:szCs w:val="26"/>
          <w:rtl/>
          <w:lang w:bidi="ar-DZ"/>
        </w:rPr>
        <w:t xml:space="preserve"> </w:t>
      </w:r>
      <w:r w:rsidR="00623004">
        <w:rPr>
          <w:rFonts w:ascii="Bahij Lotus" w:hAnsi="Bahij Lotus" w:cs="Bahij Lotus" w:hint="cs"/>
          <w:sz w:val="26"/>
          <w:szCs w:val="26"/>
          <w:rtl/>
          <w:lang w:bidi="ar-DZ"/>
        </w:rPr>
        <w:t xml:space="preserve">ط. 2، دار البصائر، الجزائر، 2009، </w:t>
      </w:r>
      <w:r w:rsidR="00662CD4">
        <w:rPr>
          <w:rFonts w:ascii="Bahij Lotus" w:hAnsi="Bahij Lotus" w:cs="Bahij Lotus" w:hint="cs"/>
          <w:sz w:val="26"/>
          <w:szCs w:val="26"/>
          <w:rtl/>
          <w:lang w:bidi="ar-DZ"/>
        </w:rPr>
        <w:t xml:space="preserve">ه. 2، </w:t>
      </w:r>
      <w:r>
        <w:rPr>
          <w:rFonts w:ascii="Bahij Lotus" w:hAnsi="Bahij Lotus" w:cs="Bahij Lotus" w:hint="cs"/>
          <w:sz w:val="26"/>
          <w:szCs w:val="26"/>
          <w:rtl/>
          <w:lang w:bidi="ar-DZ"/>
        </w:rPr>
        <w:t xml:space="preserve">ص </w:t>
      </w:r>
      <w:proofErr w:type="spellStart"/>
      <w:r>
        <w:rPr>
          <w:rFonts w:ascii="Bahij Lotus" w:hAnsi="Bahij Lotus" w:cs="Bahij Lotus" w:hint="cs"/>
          <w:sz w:val="26"/>
          <w:szCs w:val="26"/>
          <w:rtl/>
          <w:lang w:bidi="ar-DZ"/>
        </w:rPr>
        <w:t>ص</w:t>
      </w:r>
      <w:proofErr w:type="spellEnd"/>
      <w:r>
        <w:rPr>
          <w:rFonts w:ascii="Bahij Lotus" w:hAnsi="Bahij Lotus" w:cs="Bahij Lotus" w:hint="cs"/>
          <w:sz w:val="26"/>
          <w:szCs w:val="26"/>
          <w:rtl/>
          <w:lang w:bidi="ar-DZ"/>
        </w:rPr>
        <w:t xml:space="preserve">. </w:t>
      </w:r>
      <w:r w:rsidR="00662CD4">
        <w:rPr>
          <w:rFonts w:ascii="Bahij Lotus" w:hAnsi="Bahij Lotus" w:cs="Bahij Lotus" w:hint="cs"/>
          <w:sz w:val="26"/>
          <w:szCs w:val="26"/>
          <w:rtl/>
          <w:lang w:bidi="ar-DZ"/>
        </w:rPr>
        <w:t>5</w:t>
      </w:r>
      <w:r>
        <w:rPr>
          <w:rFonts w:ascii="Bahij Lotus" w:hAnsi="Bahij Lotus" w:cs="Bahij Lotus" w:hint="cs"/>
          <w:sz w:val="26"/>
          <w:szCs w:val="26"/>
          <w:rtl/>
          <w:lang w:bidi="ar-DZ"/>
        </w:rPr>
        <w:t>2-</w:t>
      </w:r>
      <w:r w:rsidR="00623004">
        <w:rPr>
          <w:rFonts w:ascii="Bahij Lotus" w:hAnsi="Bahij Lotus" w:cs="Bahij Lotus" w:hint="cs"/>
          <w:sz w:val="26"/>
          <w:szCs w:val="26"/>
          <w:rtl/>
          <w:lang w:bidi="ar-DZ"/>
        </w:rPr>
        <w:t>55</w:t>
      </w:r>
      <w:r>
        <w:rPr>
          <w:rFonts w:ascii="Bahij Lotus" w:hAnsi="Bahij Lotus" w:cs="Bahij Lotus" w:hint="cs"/>
          <w:sz w:val="26"/>
          <w:szCs w:val="26"/>
          <w:rtl/>
          <w:lang w:bidi="ar-DZ"/>
        </w:rPr>
        <w:t>.</w:t>
      </w:r>
    </w:p>
    <w:p w:rsidR="00AF2740" w:rsidRPr="00A87963" w:rsidRDefault="00AF2740" w:rsidP="00AF2740">
      <w:pPr>
        <w:bidi/>
        <w:spacing w:after="120" w:line="276" w:lineRule="auto"/>
        <w:jc w:val="center"/>
        <w:rPr>
          <w:rFonts w:ascii="Bahij Lotus" w:hAnsi="Bahij Lotus" w:cs="Bahij Lotus"/>
          <w:sz w:val="30"/>
          <w:szCs w:val="30"/>
          <w:lang w:bidi="ar-DZ"/>
        </w:rPr>
      </w:pPr>
      <w:r w:rsidRPr="00AF2740">
        <w:rPr>
          <w:rFonts w:ascii="Bahij Lotus" w:hAnsi="Bahij Lotus" w:cs="Bahij Lotus"/>
          <w:noProof/>
          <w:sz w:val="30"/>
          <w:szCs w:val="30"/>
          <w:rtl/>
          <w:lang w:eastAsia="fr-FR"/>
        </w:rPr>
        <w:lastRenderedPageBreak/>
        <w:drawing>
          <wp:inline distT="0" distB="0" distL="0" distR="0">
            <wp:extent cx="5740188" cy="8006520"/>
            <wp:effectExtent l="0" t="0" r="0" b="0"/>
            <wp:docPr id="2" name="Image 2" descr="C:\Users\PC\AppData\Local\Temp\_TS2E5.tmp\_TS1B2.tmp\Untitled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_TS2E5.tmp\_TS1B2.tmp\Untitled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8" r="1730"/>
                    <a:stretch/>
                  </pic:blipFill>
                  <pic:spPr bwMode="auto">
                    <a:xfrm>
                      <a:off x="0" y="0"/>
                      <a:ext cx="5757108" cy="803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F2740" w:rsidRPr="00A87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Lotus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919"/>
    <w:rsid w:val="00222B2C"/>
    <w:rsid w:val="00261EC7"/>
    <w:rsid w:val="00287756"/>
    <w:rsid w:val="002A281E"/>
    <w:rsid w:val="002A3988"/>
    <w:rsid w:val="00426710"/>
    <w:rsid w:val="0050652C"/>
    <w:rsid w:val="00623004"/>
    <w:rsid w:val="00662CD4"/>
    <w:rsid w:val="00682919"/>
    <w:rsid w:val="007021FD"/>
    <w:rsid w:val="008A3DD9"/>
    <w:rsid w:val="009D3B39"/>
    <w:rsid w:val="00A87963"/>
    <w:rsid w:val="00AF2740"/>
    <w:rsid w:val="00EA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20A6C"/>
  <w15:chartTrackingRefBased/>
  <w15:docId w15:val="{E511E824-C521-4C2D-83F2-928495D8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5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PC</cp:lastModifiedBy>
  <cp:revision>5</cp:revision>
  <dcterms:created xsi:type="dcterms:W3CDTF">2018-04-25T22:53:00Z</dcterms:created>
  <dcterms:modified xsi:type="dcterms:W3CDTF">2023-03-25T11:05:00Z</dcterms:modified>
</cp:coreProperties>
</file>