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12934" w:themeColor="text2" w:themeShade="7F"/>
  <w:body>
    <w:p w:rsidR="00ED18C3" w:rsidRPr="00F16064" w:rsidRDefault="00ED18C3" w:rsidP="00ED18C3">
      <w:pPr>
        <w:spacing w:line="30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16064">
        <w:rPr>
          <w:rFonts w:ascii="Calibri" w:eastAsia="Times New Roman" w:hAnsi="Calibri" w:cs="Arial"/>
          <w:noProof/>
          <w:sz w:val="21"/>
          <w:szCs w:val="21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8B4CA1" wp14:editId="12077B35">
                <wp:simplePos x="0" y="0"/>
                <wp:positionH relativeFrom="column">
                  <wp:posOffset>3281045</wp:posOffset>
                </wp:positionH>
                <wp:positionV relativeFrom="paragraph">
                  <wp:posOffset>0</wp:posOffset>
                </wp:positionV>
                <wp:extent cx="3015615" cy="8858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8858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18C3" w:rsidRPr="00ED18C3" w:rsidRDefault="00ED18C3" w:rsidP="00FB3F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Level</w:t>
                            </w:r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="00FB3F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proofErr w:type="gramEnd"/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B3F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n</w:t>
                            </w:r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year bachelor degree </w:t>
                            </w:r>
                          </w:p>
                          <w:p w:rsidR="00ED18C3" w:rsidRPr="00F16064" w:rsidRDefault="00ED18C3" w:rsidP="00ED18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Group</w:t>
                            </w:r>
                            <w:r w:rsidRPr="00F1606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bookmarkStart w:id="0" w:name="_GoBack"/>
                            <w:r w:rsidR="00FB3F0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1 2 3 4</w:t>
                            </w:r>
                          </w:p>
                          <w:bookmarkEnd w:id="0"/>
                          <w:p w:rsidR="00ED18C3" w:rsidRDefault="00ED18C3" w:rsidP="00ED18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B4C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8.35pt;margin-top:0;width:237.4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" fillcolor="#333f50" stroked="f">
                <v:textbox>
                  <w:txbxContent>
                    <w:p w:rsidR="00ED18C3" w:rsidRPr="00ED18C3" w:rsidRDefault="00ED18C3" w:rsidP="00FB3F0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D1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Level</w:t>
                      </w:r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proofErr w:type="gramStart"/>
                      <w:r w:rsidR="00FB3F07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proofErr w:type="gramEnd"/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FB3F07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>n</w:t>
                      </w:r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>d</w:t>
                      </w:r>
                      <w:proofErr w:type="spellEnd"/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 xml:space="preserve"> </w:t>
                      </w:r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year bachelor degree </w:t>
                      </w:r>
                    </w:p>
                    <w:p w:rsidR="00ED18C3" w:rsidRPr="00F16064" w:rsidRDefault="00ED18C3" w:rsidP="00ED18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ED1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Group</w:t>
                      </w:r>
                      <w:r w:rsidRPr="00F16064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bookmarkStart w:id="1" w:name="_GoBack"/>
                      <w:r w:rsidR="00FB3F07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1 2 3 4</w:t>
                      </w:r>
                    </w:p>
                    <w:bookmarkEnd w:id="1"/>
                    <w:p w:rsidR="00ED18C3" w:rsidRDefault="00ED18C3" w:rsidP="00ED18C3"/>
                  </w:txbxContent>
                </v:textbox>
                <w10:wrap type="square"/>
              </v:shape>
            </w:pict>
          </mc:Fallback>
        </mc:AlternateContent>
      </w:r>
      <w:r w:rsidRPr="00F16064">
        <w:rPr>
          <w:rFonts w:ascii="Times New Roman" w:eastAsia="Times New Roman" w:hAnsi="Times New Roman" w:cs="Times New Roman"/>
          <w:sz w:val="32"/>
          <w:szCs w:val="32"/>
          <w:lang w:eastAsia="fr-FR"/>
        </w:rPr>
        <w:t>Module </w:t>
      </w:r>
      <w:r w:rsidRPr="00F1606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: English </w:t>
      </w:r>
      <w:r w:rsidRPr="00F1606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language</w:t>
      </w:r>
      <w:r w:rsidRPr="00F1606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ED18C3" w:rsidRPr="00F16064" w:rsidRDefault="00ED18C3" w:rsidP="00ED18C3">
      <w:pPr>
        <w:spacing w:line="30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F1606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Teacher: </w:t>
      </w:r>
      <w:r w:rsidRPr="00F1606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Charfia Lilia</w:t>
      </w:r>
      <w:r w:rsidRPr="00F1606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</w:t>
      </w:r>
    </w:p>
    <w:p w:rsidR="00ED18C3" w:rsidRDefault="00ED18C3" w:rsidP="00ED18C3">
      <w:pPr>
        <w:jc w:val="center"/>
      </w:pPr>
    </w:p>
    <w:p w:rsidR="00ED18C3" w:rsidRDefault="00ED18C3" w:rsidP="00ED18C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Lesson2 </w:t>
      </w:r>
    </w:p>
    <w:p w:rsidR="00ED18C3" w:rsidRDefault="00ED18C3" w:rsidP="00ED18C3">
      <w:pPr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International accounting standards </w:t>
      </w:r>
    </w:p>
    <w:p w:rsidR="00ED18C3" w:rsidRPr="00ED18C3" w:rsidRDefault="00ED18C3" w:rsidP="00ED18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spellStart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>Definition</w:t>
      </w:r>
      <w:proofErr w:type="spellEnd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 :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The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are a </w:t>
      </w:r>
      <w:hyperlink r:id="rId5" w:tgtFrame="_blank" w:history="1">
        <w:r w:rsidRPr="00ED18C3">
          <w:rPr>
            <w:rStyle w:val="Lienhypertexte"/>
            <w:rFonts w:asciiTheme="majorBidi" w:hAnsiTheme="majorBidi" w:cstheme="majorBidi"/>
            <w:color w:val="FFFFFF" w:themeColor="background1"/>
            <w:sz w:val="28"/>
            <w:szCs w:val="28"/>
            <w:u w:val="none"/>
          </w:rPr>
          <w:t>set of practices</w:t>
        </w:r>
        <w:r w:rsidRPr="00ED18C3">
          <w:rPr>
            <w:rStyle w:val="Lienhypertexte"/>
            <w:rFonts w:asciiTheme="majorBidi" w:hAnsiTheme="majorBidi" w:cstheme="majorBidi"/>
            <w:sz w:val="28"/>
            <w:szCs w:val="28"/>
          </w:rPr>
          <w:t> </w:t>
        </w:r>
        <w:proofErr w:type="spellStart"/>
      </w:hyperlink>
      <w:r w:rsidRPr="00ED18C3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by the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(IASB).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practices 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designed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simpler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for businesses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around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the world to compare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data. This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transparency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trust in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particularly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global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. 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international</w:t>
      </w:r>
      <w:proofErr w:type="gramStart"/>
      <w:r w:rsidRPr="00ED18C3">
        <w:rPr>
          <w:rFonts w:asciiTheme="majorBidi" w:hAnsiTheme="majorBidi" w:cstheme="majorBidi"/>
          <w:sz w:val="28"/>
          <w:szCs w:val="28"/>
        </w:rPr>
        <w:t xml:space="preserve"> 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standard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alleviates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compliance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pressures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significantly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surrounding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. In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particular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have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subsidiaries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countries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streamline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practices.</w:t>
      </w:r>
    </w:p>
    <w:p w:rsidR="00ED18C3" w:rsidRPr="00ED18C3" w:rsidRDefault="00ED18C3" w:rsidP="00ED18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spellStart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>History</w:t>
      </w:r>
      <w:proofErr w:type="spellEnd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 :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of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is a long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complex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one, but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broadly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D18C3">
        <w:rPr>
          <w:rFonts w:asciiTheme="majorBidi" w:hAnsiTheme="majorBidi" w:cstheme="majorBidi"/>
          <w:sz w:val="28"/>
          <w:szCs w:val="28"/>
        </w:rPr>
        <w:t>phases:</w:t>
      </w:r>
      <w:proofErr w:type="gramEnd"/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  <w:u w:val="single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Phase </w:t>
      </w:r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1:</w:t>
      </w:r>
      <w:proofErr w:type="gram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Early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development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(1960s-1970s)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for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arose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 the 1960s, as businesses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operate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borders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investors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sought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compare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countries.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1973, the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(IASC)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formed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 set of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standards. The IASC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first standard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1975, and over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next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25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 total of 41 standards.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  <w:u w:val="single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Phase </w:t>
      </w:r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2:</w:t>
      </w:r>
      <w:proofErr w:type="gram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Restructuring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convergence (1990s-2000s)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In the 1990s, the IASC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restructure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to focus on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high-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quality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accepted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by a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wide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range of countries.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2001, the IASC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replaced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by the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(IASB),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is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current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standard-setting body. The IASB has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continued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standards,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worked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promote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convergence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and 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standards.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  <w:u w:val="single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Phase </w:t>
      </w:r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3:</w:t>
      </w:r>
      <w:proofErr w:type="gram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Global adoption (2010s-present)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recent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has been a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 the adoption of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around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the world. As of 2023, more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160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jurisdictions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adopted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permitted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the use of International Financial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(IFRS),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are the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by the IASB. This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widespread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adoption has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comparability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countries,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benefited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investors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businesses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alike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.</w:t>
      </w:r>
    </w:p>
    <w:p w:rsidR="00ED18C3" w:rsidRPr="00552978" w:rsidRDefault="00ED18C3" w:rsidP="00552978"/>
    <w:p w:rsidR="00ED18C3" w:rsidRPr="00ED18C3" w:rsidRDefault="00ED18C3" w:rsidP="00ED18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>Membres :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The 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(IASB) is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composed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of 14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the Chair and Vice-Chair.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appointed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by the Trustees of the IFRS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Foundation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for an initial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term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of five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.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diversity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IASB's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constitution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requires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representation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D18C3">
        <w:rPr>
          <w:rFonts w:asciiTheme="majorBidi" w:hAnsiTheme="majorBidi" w:cstheme="majorBidi"/>
          <w:sz w:val="28"/>
          <w:szCs w:val="28"/>
        </w:rPr>
        <w:t>regions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:</w:t>
      </w:r>
      <w:proofErr w:type="gramEnd"/>
    </w:p>
    <w:p w:rsidR="00ED18C3" w:rsidRPr="00ED18C3" w:rsidRDefault="00ED18C3" w:rsidP="00ED18C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Four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Asia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Oceania</w:t>
      </w:r>
      <w:proofErr w:type="spellEnd"/>
    </w:p>
    <w:p w:rsidR="00ED18C3" w:rsidRPr="00ED18C3" w:rsidRDefault="00ED18C3" w:rsidP="00ED18C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Four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Europe</w:t>
      </w:r>
    </w:p>
    <w:p w:rsidR="00ED18C3" w:rsidRPr="00ED18C3" w:rsidRDefault="00ED18C3" w:rsidP="00ED18C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Four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Americas</w:t>
      </w:r>
      <w:proofErr w:type="spellEnd"/>
    </w:p>
    <w:p w:rsidR="00ED18C3" w:rsidRPr="00ED18C3" w:rsidRDefault="00ED18C3" w:rsidP="00ED18C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One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Africa</w:t>
      </w:r>
      <w:proofErr w:type="spellEnd"/>
    </w:p>
    <w:p w:rsidR="00ED18C3" w:rsidRPr="00ED18C3" w:rsidRDefault="00ED18C3" w:rsidP="00ED18C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One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member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area,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ensuring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overall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geographical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balance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sz w:val="28"/>
          <w:szCs w:val="28"/>
        </w:rPr>
        <w:t>Here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current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IASB </w:t>
      </w:r>
      <w:proofErr w:type="spellStart"/>
      <w:proofErr w:type="gramStart"/>
      <w:r w:rsidRPr="00ED18C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:</w:t>
      </w:r>
      <w:proofErr w:type="gramEnd"/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Andreas </w:t>
      </w:r>
      <w:proofErr w:type="spellStart"/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</w:rPr>
        <w:t>Barckow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Chair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Linda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Mezon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</w:rPr>
        <w:t>Hutter: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Vice-Chair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>Nick Anderson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Patrina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Buchanan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Tadeu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Cendon</w:t>
      </w:r>
      <w:proofErr w:type="spellEnd"/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Florian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Esterer</w:t>
      </w:r>
      <w:proofErr w:type="spellEnd"/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Zach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Gast</w:t>
      </w:r>
      <w:proofErr w:type="spellEnd"/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Hagit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Keren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Jianqiao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Lu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>Bruce Mackenzie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lastRenderedPageBreak/>
        <w:t>Bertrand Perrin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Rika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Suzuki</w:t>
      </w:r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Ann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Tarca</w:t>
      </w:r>
      <w:proofErr w:type="spellEnd"/>
    </w:p>
    <w:p w:rsidR="00ED18C3" w:rsidRPr="00ED18C3" w:rsidRDefault="00ED18C3" w:rsidP="00ED18C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Robert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Uhl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  </w:t>
      </w:r>
    </w:p>
    <w:p w:rsidR="00552978" w:rsidRPr="00ED18C3" w:rsidRDefault="00ED18C3" w:rsidP="00ED18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spellStart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>Role</w:t>
      </w:r>
      <w:proofErr w:type="spellEnd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of international </w:t>
      </w:r>
      <w:proofErr w:type="spellStart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>accounting</w:t>
      </w:r>
      <w:proofErr w:type="spellEnd"/>
      <w:r w:rsidRPr="00ED18C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standard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International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Standards (IAS) serve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several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key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roles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 the global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D18C3">
        <w:rPr>
          <w:rFonts w:asciiTheme="majorBidi" w:hAnsiTheme="majorBidi" w:cstheme="majorBidi"/>
          <w:sz w:val="28"/>
          <w:szCs w:val="28"/>
        </w:rPr>
        <w:t>landscape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>:</w:t>
      </w:r>
      <w:proofErr w:type="gramEnd"/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Enhancing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Comparability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</w:t>
      </w:r>
      <w:proofErr w:type="spellStart"/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Transparency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IAS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language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making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easier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investors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stakeholders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compare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countries. This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transparency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builds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trust and confidence in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information.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Facilitating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Cross-Border </w:t>
      </w:r>
      <w:proofErr w:type="spellStart"/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Investment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standardizing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practices, IAS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complexities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uncertainties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associated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evaluating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information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countries. This encourages cross-border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promotes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global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integration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Improving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Access to Capital </w:t>
      </w:r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Markets: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adopt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IAS are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often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seen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as more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credible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transparent,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access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capital markets. This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lead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lower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borrowing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opportunities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Promoting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Economic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Growth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transparency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comparability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, IAS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contribute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to a more stable and efficient global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system. This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lead to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Supporting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Regulatory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ED18C3">
        <w:rPr>
          <w:rFonts w:asciiTheme="majorBidi" w:hAnsiTheme="majorBidi" w:cstheme="majorBidi"/>
          <w:b/>
          <w:bCs/>
          <w:sz w:val="28"/>
          <w:szCs w:val="28"/>
        </w:rPr>
        <w:t>Compliance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ED18C3">
        <w:rPr>
          <w:rFonts w:asciiTheme="majorBidi" w:hAnsiTheme="majorBidi" w:cstheme="majorBidi"/>
          <w:sz w:val="28"/>
          <w:szCs w:val="28"/>
        </w:rPr>
        <w:t xml:space="preserve"> For multinational corporations, IAS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streamline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compliance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providing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a consistent set of standards for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sz w:val="28"/>
          <w:szCs w:val="28"/>
        </w:rPr>
        <w:t>jurisdictions</w:t>
      </w:r>
      <w:proofErr w:type="spellEnd"/>
      <w:r w:rsidRPr="00ED18C3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ED18C3" w:rsidRDefault="00ED18C3" w:rsidP="00ED18C3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Overall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, IAS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play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a crucial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promoting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transparency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comparability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, and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efficiency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in the global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system.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They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contribute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increased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investor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confidence,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facilitated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cross-border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investment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, and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D18C3">
        <w:rPr>
          <w:rFonts w:asciiTheme="majorBidi" w:hAnsiTheme="majorBidi" w:cstheme="majorBidi"/>
          <w:b/>
          <w:bCs/>
          <w:sz w:val="28"/>
          <w:szCs w:val="28"/>
        </w:rPr>
        <w:t>growth</w:t>
      </w:r>
      <w:proofErr w:type="spellEnd"/>
      <w:r w:rsidRPr="00ED18C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D18C3" w:rsidRPr="00ED18C3" w:rsidRDefault="00ED18C3" w:rsidP="00ED18C3">
      <w:pPr>
        <w:rPr>
          <w:rFonts w:asciiTheme="majorBidi" w:hAnsiTheme="majorBidi" w:cstheme="majorBidi"/>
          <w:sz w:val="28"/>
          <w:szCs w:val="28"/>
        </w:rPr>
      </w:pPr>
    </w:p>
    <w:sectPr w:rsidR="00ED18C3" w:rsidRPr="00ED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ECE"/>
    <w:multiLevelType w:val="hybridMultilevel"/>
    <w:tmpl w:val="0ED8AF12"/>
    <w:lvl w:ilvl="0" w:tplc="27764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2BC1"/>
    <w:multiLevelType w:val="multilevel"/>
    <w:tmpl w:val="A72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70902"/>
    <w:multiLevelType w:val="multilevel"/>
    <w:tmpl w:val="7F7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78"/>
    <w:rsid w:val="00263C17"/>
    <w:rsid w:val="0030581E"/>
    <w:rsid w:val="00552978"/>
    <w:rsid w:val="00ED18C3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7E81E-46F7-4127-8730-8055786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18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vestopedia.com/terms/i/ia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2</cp:revision>
  <dcterms:created xsi:type="dcterms:W3CDTF">2025-02-13T15:00:00Z</dcterms:created>
  <dcterms:modified xsi:type="dcterms:W3CDTF">2025-03-20T22:28:00Z</dcterms:modified>
</cp:coreProperties>
</file>