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7A8" w:rsidRPr="0014108E" w:rsidRDefault="00251ADE" w:rsidP="00251ADE">
      <w:pPr>
        <w:bidi/>
        <w:rPr>
          <w:rFonts w:ascii="Traditional Arabic" w:hAnsi="Traditional Arabic" w:cs="Traditional Arabic"/>
          <w:b/>
          <w:bCs/>
          <w:color w:val="943634" w:themeColor="accent2" w:themeShade="BF"/>
          <w:sz w:val="36"/>
          <w:szCs w:val="36"/>
          <w:rtl/>
          <w:lang w:bidi="ar-DZ"/>
        </w:rPr>
      </w:pPr>
      <w:r w:rsidRPr="0014108E">
        <w:rPr>
          <w:rFonts w:ascii="Traditional Arabic" w:hAnsi="Traditional Arabic" w:cs="Traditional Arabic"/>
          <w:b/>
          <w:bCs/>
          <w:color w:val="943634" w:themeColor="accent2" w:themeShade="BF"/>
          <w:sz w:val="36"/>
          <w:szCs w:val="36"/>
          <w:rtl/>
          <w:lang w:bidi="ar-DZ"/>
        </w:rPr>
        <w:t>المحاضرة الخامسة عشر:</w:t>
      </w:r>
    </w:p>
    <w:p w:rsidR="00251ADE" w:rsidRPr="0014108E" w:rsidRDefault="00251ADE" w:rsidP="00251ADE">
      <w:pPr>
        <w:bidi/>
        <w:rPr>
          <w:rFonts w:ascii="Traditional Arabic" w:hAnsi="Traditional Arabic" w:cs="Traditional Arabic"/>
          <w:b/>
          <w:bCs/>
          <w:color w:val="76923C" w:themeColor="accent3" w:themeShade="BF"/>
          <w:sz w:val="36"/>
          <w:szCs w:val="36"/>
          <w:rtl/>
          <w:lang w:bidi="ar-DZ"/>
        </w:rPr>
      </w:pPr>
      <w:r w:rsidRPr="0014108E">
        <w:rPr>
          <w:rFonts w:ascii="Traditional Arabic" w:hAnsi="Traditional Arabic" w:cs="Traditional Arabic"/>
          <w:b/>
          <w:bCs/>
          <w:color w:val="76923C" w:themeColor="accent3" w:themeShade="BF"/>
          <w:sz w:val="36"/>
          <w:szCs w:val="36"/>
          <w:rtl/>
          <w:lang w:bidi="ar-DZ"/>
        </w:rPr>
        <w:t>الاستشراق في الميزان: قراءة في الخلفيات والمرجعيات</w:t>
      </w:r>
    </w:p>
    <w:p w:rsidR="00E913D2" w:rsidRDefault="00E913D2" w:rsidP="00BD0F2E">
      <w:pPr>
        <w:bidi/>
        <w:jc w:val="left"/>
        <w:rPr>
          <w:rFonts w:ascii="Traditional Arabic" w:hAnsi="Traditional Arabic" w:cs="Traditional Arabic"/>
          <w:color w:val="000000"/>
          <w:sz w:val="36"/>
          <w:szCs w:val="36"/>
          <w:rtl/>
        </w:rPr>
      </w:pPr>
      <w:r>
        <w:rPr>
          <w:rStyle w:val="fontstyle01"/>
          <w:rFonts w:hint="cs"/>
          <w:sz w:val="36"/>
          <w:szCs w:val="36"/>
          <w:rtl/>
        </w:rPr>
        <w:t xml:space="preserve">  ي</w:t>
      </w:r>
      <w:r w:rsidR="0014108E" w:rsidRPr="0014108E">
        <w:rPr>
          <w:rStyle w:val="fontstyle01"/>
          <w:sz w:val="36"/>
          <w:szCs w:val="36"/>
          <w:rtl/>
        </w:rPr>
        <w:t>عد الحفر في الخلفيات الفكرية والتاريخية، لاهتمامات المستشرقين بالأدب العربي، من أهّم</w:t>
      </w:r>
      <w:r>
        <w:rPr>
          <w:rFonts w:ascii="Traditional Arabic" w:hAnsi="Traditional Arabic" w:cs="Traditional Arabic" w:hint="cs"/>
          <w:color w:val="000000"/>
          <w:sz w:val="36"/>
          <w:szCs w:val="36"/>
          <w:rtl/>
        </w:rPr>
        <w:t xml:space="preserve"> </w:t>
      </w:r>
      <w:r>
        <w:rPr>
          <w:rStyle w:val="fontstyle01"/>
          <w:sz w:val="36"/>
          <w:szCs w:val="36"/>
          <w:rtl/>
        </w:rPr>
        <w:t>أشكال</w:t>
      </w:r>
      <w:r>
        <w:rPr>
          <w:rStyle w:val="fontstyle01"/>
          <w:rFonts w:hint="cs"/>
          <w:sz w:val="36"/>
          <w:szCs w:val="36"/>
          <w:rtl/>
        </w:rPr>
        <w:t xml:space="preserve"> </w:t>
      </w:r>
      <w:r w:rsidR="0014108E" w:rsidRPr="0014108E">
        <w:rPr>
          <w:rStyle w:val="fontstyle01"/>
          <w:sz w:val="36"/>
          <w:szCs w:val="36"/>
          <w:rtl/>
        </w:rPr>
        <w:t>البحث التي استرعت بعض الباحثين العرب</w:t>
      </w:r>
      <w:r w:rsidR="0014108E" w:rsidRPr="0014108E">
        <w:rPr>
          <w:rStyle w:val="fontstyle01"/>
          <w:sz w:val="36"/>
          <w:szCs w:val="36"/>
        </w:rPr>
        <w:t>.</w:t>
      </w:r>
      <w:r>
        <w:rPr>
          <w:rFonts w:ascii="Traditional Arabic" w:hAnsi="Traditional Arabic" w:cs="Traditional Arabic" w:hint="cs"/>
          <w:color w:val="000000"/>
          <w:sz w:val="36"/>
          <w:szCs w:val="36"/>
          <w:rtl/>
        </w:rPr>
        <w:t xml:space="preserve"> </w:t>
      </w:r>
    </w:p>
    <w:p w:rsidR="00BD0F2E" w:rsidRDefault="00BD0F2E" w:rsidP="00BD0F2E">
      <w:pPr>
        <w:bidi/>
        <w:jc w:val="left"/>
        <w:rPr>
          <w:rStyle w:val="fontstyle01"/>
          <w:sz w:val="36"/>
          <w:szCs w:val="36"/>
          <w:rtl/>
        </w:rPr>
      </w:pPr>
      <w:r>
        <w:rPr>
          <w:rStyle w:val="fontstyle01"/>
          <w:rFonts w:hint="cs"/>
          <w:sz w:val="36"/>
          <w:szCs w:val="36"/>
          <w:rtl/>
        </w:rPr>
        <w:t xml:space="preserve">  </w:t>
      </w:r>
      <w:r w:rsidR="00E913D2">
        <w:rPr>
          <w:rStyle w:val="fontstyle01"/>
          <w:sz w:val="36"/>
          <w:szCs w:val="36"/>
          <w:rtl/>
        </w:rPr>
        <w:t>وإذا عن لأي باحث فحص أعمال المستشرقين،</w:t>
      </w:r>
      <w:r w:rsidR="00E913D2">
        <w:rPr>
          <w:rStyle w:val="fontstyle01"/>
          <w:rFonts w:hint="cs"/>
          <w:sz w:val="36"/>
          <w:szCs w:val="36"/>
          <w:rtl/>
        </w:rPr>
        <w:t xml:space="preserve"> </w:t>
      </w:r>
      <w:r w:rsidR="0014108E" w:rsidRPr="0014108E">
        <w:rPr>
          <w:rStyle w:val="fontstyle01"/>
          <w:sz w:val="36"/>
          <w:szCs w:val="36"/>
          <w:rtl/>
        </w:rPr>
        <w:t xml:space="preserve">فسوف </w:t>
      </w:r>
      <w:r w:rsidRPr="0014108E">
        <w:rPr>
          <w:rStyle w:val="fontstyle01"/>
          <w:sz w:val="36"/>
          <w:szCs w:val="36"/>
          <w:rtl/>
        </w:rPr>
        <w:t xml:space="preserve">يلفيها </w:t>
      </w:r>
      <w:r w:rsidR="0014108E" w:rsidRPr="0014108E">
        <w:rPr>
          <w:rStyle w:val="fontstyle01"/>
          <w:sz w:val="36"/>
          <w:szCs w:val="36"/>
          <w:rtl/>
        </w:rPr>
        <w:t>"لا تستند في الكثير من الأحيان</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على المسلمات التي درجنا عليها، ولا تحتكم إلى المنطلقات التي</w:t>
      </w:r>
      <w:r>
        <w:rPr>
          <w:rStyle w:val="fontstyle01"/>
          <w:sz w:val="36"/>
          <w:szCs w:val="36"/>
          <w:rtl/>
        </w:rPr>
        <w:t xml:space="preserve"> نشأ عليها النقد العربي، وهو ما</w:t>
      </w:r>
      <w:r>
        <w:rPr>
          <w:rStyle w:val="fontstyle01"/>
          <w:rFonts w:hint="cs"/>
          <w:sz w:val="36"/>
          <w:szCs w:val="36"/>
          <w:rtl/>
        </w:rPr>
        <w:t xml:space="preserve"> </w:t>
      </w:r>
      <w:r w:rsidR="0014108E" w:rsidRPr="0014108E">
        <w:rPr>
          <w:rStyle w:val="fontstyle01"/>
          <w:sz w:val="36"/>
          <w:szCs w:val="36"/>
          <w:rtl/>
        </w:rPr>
        <w:t>يفرض</w:t>
      </w:r>
      <w:r w:rsidR="00E913D2">
        <w:rPr>
          <w:rFonts w:ascii="Traditional Arabic" w:hAnsi="Traditional Arabic" w:cs="Traditional Arabic" w:hint="cs"/>
          <w:color w:val="000000"/>
          <w:sz w:val="36"/>
          <w:szCs w:val="36"/>
          <w:rtl/>
        </w:rPr>
        <w:t xml:space="preserve"> </w:t>
      </w:r>
      <w:r w:rsidR="0014108E" w:rsidRPr="0014108E">
        <w:rPr>
          <w:rStyle w:val="fontstyle01"/>
          <w:sz w:val="36"/>
          <w:szCs w:val="36"/>
          <w:rtl/>
        </w:rPr>
        <w:t>علينا إعادة قراءة ال</w:t>
      </w:r>
      <w:r w:rsidR="00E913D2">
        <w:rPr>
          <w:rStyle w:val="fontstyle01"/>
          <w:sz w:val="36"/>
          <w:szCs w:val="36"/>
          <w:rtl/>
        </w:rPr>
        <w:t>مقاربة الاستشراقية، في سبيل فهم</w:t>
      </w:r>
      <w:r w:rsidR="00E913D2">
        <w:rPr>
          <w:rStyle w:val="fontstyle01"/>
          <w:rFonts w:hint="cs"/>
          <w:sz w:val="36"/>
          <w:szCs w:val="36"/>
          <w:rtl/>
        </w:rPr>
        <w:t xml:space="preserve"> </w:t>
      </w:r>
      <w:r w:rsidR="0014108E" w:rsidRPr="0014108E">
        <w:rPr>
          <w:rStyle w:val="fontstyle01"/>
          <w:sz w:val="36"/>
          <w:szCs w:val="36"/>
          <w:rtl/>
        </w:rPr>
        <w:t>فل</w:t>
      </w:r>
      <w:r>
        <w:rPr>
          <w:rStyle w:val="fontstyle01"/>
          <w:sz w:val="36"/>
          <w:szCs w:val="36"/>
          <w:rtl/>
        </w:rPr>
        <w:t>سفتها وآلياتها وغاياتها، وتقويم</w:t>
      </w:r>
      <w:r>
        <w:rPr>
          <w:rStyle w:val="fontstyle01"/>
          <w:rFonts w:hint="cs"/>
          <w:sz w:val="36"/>
          <w:szCs w:val="36"/>
          <w:rtl/>
        </w:rPr>
        <w:t xml:space="preserve"> </w:t>
      </w:r>
      <w:r w:rsidR="0014108E" w:rsidRPr="0014108E">
        <w:rPr>
          <w:rStyle w:val="fontstyle01"/>
          <w:sz w:val="36"/>
          <w:szCs w:val="36"/>
          <w:rtl/>
        </w:rPr>
        <w:t>أخطائها، والبناء على</w:t>
      </w:r>
      <w:r w:rsidR="00E913D2">
        <w:rPr>
          <w:rFonts w:ascii="Traditional Arabic" w:hAnsi="Traditional Arabic" w:cs="Traditional Arabic" w:hint="cs"/>
          <w:color w:val="000000"/>
          <w:sz w:val="36"/>
          <w:szCs w:val="36"/>
          <w:rtl/>
        </w:rPr>
        <w:t xml:space="preserve"> </w:t>
      </w:r>
      <w:r w:rsidR="0014108E" w:rsidRPr="0014108E">
        <w:rPr>
          <w:rStyle w:val="fontstyle01"/>
          <w:sz w:val="36"/>
          <w:szCs w:val="36"/>
          <w:rtl/>
        </w:rPr>
        <w:t>ثمارها وإ</w:t>
      </w:r>
      <w:r w:rsidR="00E913D2">
        <w:rPr>
          <w:rStyle w:val="fontstyle01"/>
          <w:sz w:val="36"/>
          <w:szCs w:val="36"/>
          <w:rtl/>
        </w:rPr>
        <w:t>يجابياتها، بروح علمية ووفق منهج</w:t>
      </w:r>
      <w:r w:rsidR="00E913D2">
        <w:rPr>
          <w:rStyle w:val="fontstyle01"/>
          <w:rFonts w:hint="cs"/>
          <w:sz w:val="36"/>
          <w:szCs w:val="36"/>
          <w:rtl/>
        </w:rPr>
        <w:t xml:space="preserve"> </w:t>
      </w:r>
      <w:r w:rsidR="0014108E" w:rsidRPr="0014108E">
        <w:rPr>
          <w:rStyle w:val="fontstyle01"/>
          <w:sz w:val="36"/>
          <w:szCs w:val="36"/>
          <w:rtl/>
        </w:rPr>
        <w:t>يتوخى الموضوعية سب</w:t>
      </w:r>
      <w:r>
        <w:rPr>
          <w:rStyle w:val="fontstyle01"/>
          <w:sz w:val="36"/>
          <w:szCs w:val="36"/>
          <w:rtl/>
        </w:rPr>
        <w:t>يلا، بعيدا عن</w:t>
      </w:r>
      <w:r>
        <w:rPr>
          <w:rStyle w:val="fontstyle01"/>
          <w:rFonts w:hint="cs"/>
          <w:sz w:val="36"/>
          <w:szCs w:val="36"/>
          <w:rtl/>
        </w:rPr>
        <w:t xml:space="preserve"> أ</w:t>
      </w:r>
      <w:r w:rsidR="00E913D2">
        <w:rPr>
          <w:rStyle w:val="fontstyle01"/>
          <w:sz w:val="36"/>
          <w:szCs w:val="36"/>
          <w:rtl/>
        </w:rPr>
        <w:t>ي انحياز أو تج</w:t>
      </w:r>
      <w:r w:rsidR="0014108E" w:rsidRPr="0014108E">
        <w:rPr>
          <w:rStyle w:val="fontstyle01"/>
          <w:sz w:val="36"/>
          <w:szCs w:val="36"/>
          <w:rtl/>
        </w:rPr>
        <w:t>ّن</w:t>
      </w:r>
      <w:r w:rsidR="0014108E" w:rsidRPr="0014108E">
        <w:rPr>
          <w:rStyle w:val="fontstyle01"/>
          <w:sz w:val="36"/>
          <w:szCs w:val="36"/>
        </w:rPr>
        <w:t>"</w:t>
      </w:r>
      <w:r w:rsidR="00E913D2">
        <w:rPr>
          <w:rStyle w:val="Appelnotedebasdep"/>
          <w:rFonts w:ascii="Traditional Arabic" w:hAnsi="Traditional Arabic" w:cs="Traditional Arabic"/>
          <w:color w:val="000000"/>
          <w:sz w:val="36"/>
          <w:szCs w:val="36"/>
        </w:rPr>
        <w:footnoteReference w:id="2"/>
      </w:r>
      <w:r w:rsidR="00E913D2">
        <w:rPr>
          <w:rStyle w:val="fontstyle01"/>
          <w:rFonts w:hint="cs"/>
          <w:sz w:val="36"/>
          <w:szCs w:val="36"/>
          <w:rtl/>
        </w:rPr>
        <w:t>.</w:t>
      </w:r>
      <w:r w:rsidR="0014108E" w:rsidRPr="0014108E">
        <w:rPr>
          <w:rFonts w:ascii="Traditional Arabic" w:hAnsi="Traditional Arabic" w:cs="Traditional Arabic"/>
          <w:color w:val="000000"/>
          <w:sz w:val="36"/>
          <w:szCs w:val="36"/>
        </w:rPr>
        <w:br/>
      </w:r>
      <w:r w:rsidR="0014108E" w:rsidRPr="0014108E">
        <w:rPr>
          <w:rStyle w:val="fontstyle31"/>
        </w:rPr>
        <w:t>-</w:t>
      </w:r>
      <w:r w:rsidR="0014108E" w:rsidRPr="0014108E">
        <w:rPr>
          <w:rStyle w:val="fontstyle31"/>
          <w:rtl/>
        </w:rPr>
        <w:t>هيمنة الخلفيات الفكرية الغربية على المشروع الاستشراقي</w:t>
      </w:r>
      <w:r w:rsidR="0014108E" w:rsidRPr="0014108E">
        <w:rPr>
          <w:rFonts w:ascii="Traditional Arabic" w:hAnsi="Traditional Arabic" w:cs="Traditional Arabic"/>
          <w:b/>
          <w:bCs/>
          <w:color w:val="000000"/>
          <w:sz w:val="36"/>
          <w:szCs w:val="36"/>
        </w:rPr>
        <w:br/>
      </w:r>
      <w:r>
        <w:rPr>
          <w:rStyle w:val="fontstyle01"/>
          <w:rFonts w:hint="cs"/>
          <w:sz w:val="36"/>
          <w:szCs w:val="36"/>
          <w:rtl/>
        </w:rPr>
        <w:t xml:space="preserve">  </w:t>
      </w:r>
      <w:r>
        <w:rPr>
          <w:rStyle w:val="fontstyle01"/>
          <w:sz w:val="36"/>
          <w:szCs w:val="36"/>
          <w:rtl/>
        </w:rPr>
        <w:t>لعل أهّم سياق إشكال</w:t>
      </w:r>
      <w:r w:rsidR="0014108E" w:rsidRPr="0014108E">
        <w:rPr>
          <w:rStyle w:val="fontstyle01"/>
          <w:sz w:val="36"/>
          <w:szCs w:val="36"/>
          <w:rtl/>
        </w:rPr>
        <w:t>ي تُؤطَّر فيه مسألة الخلفيات النظرية لجهود المستشرقين؛ هو إطار سعي</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الآخر</w:t>
      </w:r>
      <w:r>
        <w:rPr>
          <w:rStyle w:val="fontstyle01"/>
          <w:sz w:val="36"/>
          <w:szCs w:val="36"/>
          <w:rtl/>
        </w:rPr>
        <w:t xml:space="preserve"> الأورب</w:t>
      </w:r>
      <w:r w:rsidR="0014108E" w:rsidRPr="0014108E">
        <w:rPr>
          <w:rStyle w:val="fontstyle01"/>
          <w:sz w:val="36"/>
          <w:szCs w:val="36"/>
          <w:rtl/>
        </w:rPr>
        <w:t>ي لتعزيز مركزيّته الثقافية والمعرفية، على حساب الكيانات العربية الشرقية (الهامش)، ا</w:t>
      </w:r>
      <w:r w:rsidRPr="0014108E">
        <w:rPr>
          <w:rStyle w:val="fontstyle01"/>
          <w:sz w:val="36"/>
          <w:szCs w:val="36"/>
          <w:rtl/>
        </w:rPr>
        <w:t>لمستعمرة</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آنذاك، و المستغلة اقتصاديا وفكريا</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Pr>
          <w:rStyle w:val="fontstyle01"/>
          <w:rFonts w:hint="cs"/>
          <w:sz w:val="36"/>
          <w:szCs w:val="36"/>
          <w:rtl/>
        </w:rPr>
        <w:t xml:space="preserve">  </w:t>
      </w:r>
      <w:r w:rsidR="0014108E" w:rsidRPr="0014108E">
        <w:rPr>
          <w:rStyle w:val="fontstyle01"/>
          <w:sz w:val="36"/>
          <w:szCs w:val="36"/>
          <w:rtl/>
        </w:rPr>
        <w:t>لقد انتعشت الدارسات الاستشراقية عاّمة والأدبية خاصة، في القرن التاسع عشر، بْيد أن الخلفيات</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النظرية لهذه الجهود البحثيّة كانت قد انبثقت من رؤى فلسفية سابقة لهذه الفترة، ومتجّذرة في عمق</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التحّولات المعرفية والفكرية التي عاشتها أوربا في عصر الأن</w:t>
      </w:r>
      <w:r>
        <w:rPr>
          <w:rStyle w:val="fontstyle01"/>
          <w:sz w:val="36"/>
          <w:szCs w:val="36"/>
          <w:rtl/>
        </w:rPr>
        <w:t>وار وعصر النهضة، وعبر العديد من</w:t>
      </w:r>
      <w:r>
        <w:rPr>
          <w:rStyle w:val="fontstyle01"/>
          <w:rFonts w:hint="cs"/>
          <w:sz w:val="36"/>
          <w:szCs w:val="36"/>
          <w:rtl/>
        </w:rPr>
        <w:t xml:space="preserve"> </w:t>
      </w:r>
      <w:r w:rsidR="0014108E" w:rsidRPr="0014108E">
        <w:rPr>
          <w:rStyle w:val="fontstyle01"/>
          <w:sz w:val="36"/>
          <w:szCs w:val="36"/>
          <w:rtl/>
        </w:rPr>
        <w:t>المذاهب</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الاجتماعية والسياسية التي اعتملت فيما بينها، مؤسسةً لرؤية جديدة للعالم، انطبعت بها بعد ذلك أ</w:t>
      </w:r>
      <w:r w:rsidRPr="0014108E">
        <w:rPr>
          <w:rStyle w:val="fontstyle01"/>
          <w:sz w:val="36"/>
          <w:szCs w:val="36"/>
          <w:rtl/>
        </w:rPr>
        <w:t>وربا</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وتبنّتها بكل تفاصيلها، ورامت أن تصّدرها أو تلزم بها بقية الكيانات الثقافية التي هيمنت عليها بقوة السلاح</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Pr>
          <w:rStyle w:val="fontstyle01"/>
          <w:rFonts w:hint="cs"/>
          <w:sz w:val="36"/>
          <w:szCs w:val="36"/>
          <w:rtl/>
        </w:rPr>
        <w:t xml:space="preserve">  </w:t>
      </w:r>
      <w:r w:rsidR="0014108E" w:rsidRPr="0014108E">
        <w:rPr>
          <w:rStyle w:val="fontstyle01"/>
          <w:sz w:val="36"/>
          <w:szCs w:val="36"/>
          <w:rtl/>
        </w:rPr>
        <w:t xml:space="preserve">إن الشرق العربي والاسلامي كان من أهم أجزاء الشرق التي </w:t>
      </w:r>
      <w:r>
        <w:rPr>
          <w:rStyle w:val="fontstyle01"/>
          <w:sz w:val="36"/>
          <w:szCs w:val="36"/>
          <w:rtl/>
        </w:rPr>
        <w:t>خضعت لاهتمامات الاستشراق الغرب</w:t>
      </w:r>
      <w:r w:rsidR="0014108E" w:rsidRPr="0014108E">
        <w:rPr>
          <w:rStyle w:val="fontstyle01"/>
          <w:sz w:val="36"/>
          <w:szCs w:val="36"/>
          <w:rtl/>
        </w:rPr>
        <w:t>ي،</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لاسيما وأنه طالما راغم أوربا في جولاتكّر و فّر، عبر ما يسمى بـ (الحروب الصليبية</w:t>
      </w:r>
      <w:r>
        <w:rPr>
          <w:rStyle w:val="fontstyle01"/>
          <w:rFonts w:hint="cs"/>
          <w:sz w:val="36"/>
          <w:szCs w:val="36"/>
          <w:rtl/>
        </w:rPr>
        <w:t>)</w:t>
      </w:r>
      <w:r>
        <w:rPr>
          <w:rFonts w:ascii="Traditional Arabic" w:hAnsi="Traditional Arabic" w:cs="Traditional Arabic" w:hint="cs"/>
          <w:color w:val="000000"/>
          <w:sz w:val="36"/>
          <w:szCs w:val="36"/>
          <w:rtl/>
        </w:rPr>
        <w:t xml:space="preserve"> </w:t>
      </w:r>
      <w:r>
        <w:rPr>
          <w:rStyle w:val="fontstyle01"/>
          <w:sz w:val="36"/>
          <w:szCs w:val="36"/>
          <w:rtl/>
        </w:rPr>
        <w:t xml:space="preserve">ولذلك </w:t>
      </w:r>
      <w:r>
        <w:rPr>
          <w:rStyle w:val="fontstyle01"/>
          <w:sz w:val="36"/>
          <w:szCs w:val="36"/>
          <w:rtl/>
        </w:rPr>
        <w:lastRenderedPageBreak/>
        <w:t>وفي ظ</w:t>
      </w:r>
      <w:r w:rsidR="0014108E" w:rsidRPr="0014108E">
        <w:rPr>
          <w:rStyle w:val="fontstyle01"/>
          <w:sz w:val="36"/>
          <w:szCs w:val="36"/>
          <w:rtl/>
        </w:rPr>
        <w:t>ل اهتمام الغرب بالشرق، عبر مؤسسة الاستشراق، اصطنع المستشرقون إزاء مسألة</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المناهج؛ ثلاثة أبعاد في اهتمامهم بدراسة الأدب العربي و نصوصه</w:t>
      </w:r>
      <w:r>
        <w:rPr>
          <w:rStyle w:val="fontstyle01"/>
          <w:rFonts w:hint="cs"/>
          <w:sz w:val="36"/>
          <w:szCs w:val="36"/>
          <w:rtl/>
        </w:rPr>
        <w:t>:</w:t>
      </w:r>
      <w:r w:rsidRPr="0014108E">
        <w:rPr>
          <w:rStyle w:val="fontstyle01"/>
          <w:sz w:val="36"/>
          <w:szCs w:val="36"/>
          <w:rtl/>
        </w:rPr>
        <w:t xml:space="preserve"> </w:t>
      </w:r>
    </w:p>
    <w:p w:rsidR="00251ADE" w:rsidRPr="0014108E" w:rsidRDefault="00BD0F2E" w:rsidP="00E966AF">
      <w:pPr>
        <w:bidi/>
        <w:jc w:val="left"/>
        <w:rPr>
          <w:rStyle w:val="fontstyle01"/>
          <w:sz w:val="36"/>
          <w:szCs w:val="36"/>
          <w:rtl/>
        </w:rPr>
      </w:pPr>
      <w:r>
        <w:rPr>
          <w:rStyle w:val="fontstyle01"/>
          <w:rFonts w:hint="cs"/>
          <w:sz w:val="36"/>
          <w:szCs w:val="36"/>
          <w:rtl/>
        </w:rPr>
        <w:t xml:space="preserve">1: </w:t>
      </w:r>
      <w:r>
        <w:rPr>
          <w:rStyle w:val="fontstyle01"/>
          <w:sz w:val="36"/>
          <w:szCs w:val="36"/>
          <w:rtl/>
        </w:rPr>
        <w:t>بُعٌد أدب</w:t>
      </w:r>
      <w:r w:rsidR="0014108E" w:rsidRPr="0014108E">
        <w:rPr>
          <w:rStyle w:val="fontstyle01"/>
          <w:sz w:val="36"/>
          <w:szCs w:val="36"/>
          <w:rtl/>
        </w:rPr>
        <w:t>ي يدخل في دراسة الأدب المقارن. من حيث إن تأثير الأدب العربي في الآداب الأوربية، كان</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يتم عن طريق إنجازات، في مقدمتها عمل المستشرقين في ترجمة النصوص والآثار الكبرى في الأدب العربي</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إلى لغاتهم</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sidR="0014108E" w:rsidRPr="0014108E">
        <w:rPr>
          <w:rStyle w:val="fontstyle01"/>
          <w:sz w:val="36"/>
          <w:szCs w:val="36"/>
        </w:rPr>
        <w:t>:2</w:t>
      </w:r>
      <w:r w:rsidR="0014108E" w:rsidRPr="0014108E">
        <w:rPr>
          <w:rStyle w:val="fontstyle01"/>
          <w:sz w:val="36"/>
          <w:szCs w:val="36"/>
          <w:rtl/>
        </w:rPr>
        <w:t>بُعٌد حضار ٌّي يتمثّل في قيام الاستشراق بصيانة التراث الأدبي والإسلامي، وفهرسته وطبع بعضه وتمكين</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أهله منه، عندما ح ّل عصر النهضة في تاريخ الأدب العربي الحديث</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sidR="0014108E" w:rsidRPr="0014108E">
        <w:rPr>
          <w:rStyle w:val="fontstyle01"/>
          <w:sz w:val="36"/>
          <w:szCs w:val="36"/>
        </w:rPr>
        <w:t>:3</w:t>
      </w:r>
      <w:r w:rsidR="0014108E" w:rsidRPr="0014108E">
        <w:rPr>
          <w:rStyle w:val="fontstyle01"/>
          <w:sz w:val="36"/>
          <w:szCs w:val="36"/>
          <w:rtl/>
        </w:rPr>
        <w:t>بعٌد منهج ٌّي أو علم ٌي، يتمثّل في المناهج التي اعتمدها المستشرقون في دراسة آدابنا، هذه المناهج التي</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تأثّرنا بها في حالي سدادها واستقامتها، وعوجها وانحرافها وتحاملها على حّد سواء</w:t>
      </w:r>
      <w:r w:rsidR="0014108E" w:rsidRPr="0014108E">
        <w:rPr>
          <w:rStyle w:val="fontstyle01"/>
          <w:sz w:val="36"/>
          <w:szCs w:val="36"/>
        </w:rPr>
        <w:t>"</w:t>
      </w:r>
      <w:r>
        <w:rPr>
          <w:rStyle w:val="Appelnotedebasdep"/>
          <w:rFonts w:ascii="Traditional Arabic" w:hAnsi="Traditional Arabic" w:cs="Traditional Arabic"/>
          <w:color w:val="000000"/>
          <w:sz w:val="36"/>
          <w:szCs w:val="36"/>
        </w:rPr>
        <w:footnoteReference w:id="3"/>
      </w:r>
      <w:r w:rsidRPr="0014108E">
        <w:rPr>
          <w:rFonts w:ascii="Traditional Arabic" w:hAnsi="Traditional Arabic" w:cs="Traditional Arabic"/>
          <w:color w:val="000000"/>
          <w:sz w:val="36"/>
          <w:szCs w:val="36"/>
        </w:rPr>
        <w:t xml:space="preserve"> </w:t>
      </w:r>
      <w:r w:rsidR="0014108E" w:rsidRPr="0014108E">
        <w:rPr>
          <w:rFonts w:ascii="Traditional Arabic" w:hAnsi="Traditional Arabic" w:cs="Traditional Arabic"/>
          <w:color w:val="000000"/>
          <w:sz w:val="36"/>
          <w:szCs w:val="36"/>
        </w:rPr>
        <w:br/>
      </w:r>
      <w:r>
        <w:rPr>
          <w:rFonts w:ascii="Traditional Arabic" w:hAnsi="Traditional Arabic" w:cs="Traditional Arabic" w:hint="cs"/>
          <w:color w:val="000000"/>
          <w:sz w:val="36"/>
          <w:szCs w:val="36"/>
          <w:rtl/>
        </w:rPr>
        <w:t xml:space="preserve"> </w:t>
      </w:r>
      <w:r>
        <w:rPr>
          <w:rStyle w:val="fontstyle01"/>
          <w:rFonts w:hint="cs"/>
          <w:sz w:val="36"/>
          <w:szCs w:val="36"/>
          <w:rtl/>
        </w:rPr>
        <w:t xml:space="preserve"> </w:t>
      </w:r>
      <w:r w:rsidR="0014108E" w:rsidRPr="0014108E">
        <w:rPr>
          <w:rStyle w:val="fontstyle01"/>
          <w:sz w:val="36"/>
          <w:szCs w:val="36"/>
          <w:rtl/>
        </w:rPr>
        <w:t>وفيما هو مسلّمة من المسلّمات فإن الاحتكاك بالآخر، استلب العناصر المثالية للثقافة ا</w:t>
      </w:r>
      <w:r w:rsidRPr="0014108E">
        <w:rPr>
          <w:rStyle w:val="fontstyle01"/>
          <w:sz w:val="36"/>
          <w:szCs w:val="36"/>
          <w:rtl/>
        </w:rPr>
        <w:t>لعربية</w:t>
      </w:r>
      <w:r>
        <w:rPr>
          <w:rStyle w:val="fontstyle01"/>
          <w:rFonts w:hint="cs"/>
          <w:sz w:val="36"/>
          <w:szCs w:val="36"/>
          <w:rtl/>
        </w:rPr>
        <w:t xml:space="preserve"> </w:t>
      </w:r>
      <w:r w:rsidRPr="0014108E">
        <w:rPr>
          <w:rStyle w:val="fontstyle01"/>
          <w:sz w:val="36"/>
          <w:szCs w:val="36"/>
          <w:rtl/>
        </w:rPr>
        <w:t>عموما</w:t>
      </w:r>
      <w:r>
        <w:rPr>
          <w:rFonts w:ascii="Traditional Arabic" w:hAnsi="Traditional Arabic" w:cs="Traditional Arabic" w:hint="cs"/>
          <w:color w:val="000000"/>
          <w:sz w:val="36"/>
          <w:szCs w:val="36"/>
          <w:rtl/>
        </w:rPr>
        <w:t xml:space="preserve"> </w:t>
      </w:r>
      <w:r>
        <w:rPr>
          <w:rStyle w:val="fontstyle01"/>
          <w:sz w:val="36"/>
          <w:szCs w:val="36"/>
          <w:rtl/>
        </w:rPr>
        <w:t>وللتراث الأدبي خصوصا، محّ</w:t>
      </w:r>
      <w:r w:rsidR="0014108E" w:rsidRPr="0014108E">
        <w:rPr>
          <w:rStyle w:val="fontstyle01"/>
          <w:sz w:val="36"/>
          <w:szCs w:val="36"/>
          <w:rtl/>
        </w:rPr>
        <w:t>ققا هيمنة لا مراء فيها لمقولة المنهج وسلطة المنهج، ومؤ ّسسا لما يُعرف اليوم</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في الدراسات النقدية بـ (القلق المنهجي</w:t>
      </w:r>
      <w:r w:rsidR="0014108E" w:rsidRPr="0014108E">
        <w:rPr>
          <w:rStyle w:val="fontstyle01"/>
          <w:sz w:val="36"/>
          <w:szCs w:val="36"/>
        </w:rPr>
        <w:t>.</w:t>
      </w:r>
      <w:r>
        <w:rPr>
          <w:rStyle w:val="fontstyle01"/>
          <w:rFonts w:hint="cs"/>
          <w:sz w:val="36"/>
          <w:szCs w:val="36"/>
          <w:rtl/>
        </w:rPr>
        <w:t>)</w:t>
      </w:r>
      <w:r w:rsidR="0014108E" w:rsidRPr="0014108E">
        <w:rPr>
          <w:rFonts w:ascii="Traditional Arabic" w:hAnsi="Traditional Arabic" w:cs="Traditional Arabic"/>
          <w:color w:val="000000"/>
          <w:sz w:val="36"/>
          <w:szCs w:val="36"/>
        </w:rPr>
        <w:br/>
      </w:r>
      <w:r>
        <w:rPr>
          <w:rStyle w:val="fontstyle01"/>
          <w:rFonts w:hint="cs"/>
          <w:sz w:val="36"/>
          <w:szCs w:val="36"/>
          <w:rtl/>
        </w:rPr>
        <w:t xml:space="preserve">  </w:t>
      </w:r>
      <w:r w:rsidR="0014108E" w:rsidRPr="0014108E">
        <w:rPr>
          <w:rStyle w:val="fontstyle01"/>
          <w:sz w:val="36"/>
          <w:szCs w:val="36"/>
          <w:rtl/>
        </w:rPr>
        <w:t>وفضلا عن هذا "ينبغي التأكيد، أن النشاط الاستشراق ّي، ليس فعلا مجردا عن مضامينه الغربيّة، و هو</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ليس فعل أفراد دفعهم (حب المعرفة) لجعل الشرق موضوعا غربيّاً، إنما هو في حقيقة الأمر، ضرب من</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الممارسة الفكرية التي اقتضتها حاجة العقل الغربي، لأن يشمل بـ (كلِّّيته)، المعطيات الثقافية لــ (الآخر</w:t>
      </w:r>
      <w:r>
        <w:rPr>
          <w:rStyle w:val="fontstyle01"/>
          <w:rFonts w:hint="cs"/>
          <w:sz w:val="36"/>
          <w:szCs w:val="36"/>
          <w:rtl/>
        </w:rPr>
        <w:t>)</w:t>
      </w:r>
      <w:r w:rsidR="0014108E" w:rsidRPr="0014108E">
        <w:rPr>
          <w:rStyle w:val="fontstyle01"/>
          <w:sz w:val="36"/>
          <w:szCs w:val="36"/>
          <w:rtl/>
        </w:rPr>
        <w:t>،</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وإعادة إنتاجها، بما يجعلها تندرج ضمن سياقات المركز، وهو يفكر ويتف ّكر في شؤون غيره</w:t>
      </w:r>
      <w:r w:rsidR="0014108E" w:rsidRPr="0014108E">
        <w:rPr>
          <w:rStyle w:val="fontstyle01"/>
          <w:sz w:val="36"/>
          <w:szCs w:val="36"/>
        </w:rPr>
        <w:t>"</w:t>
      </w:r>
      <w:r>
        <w:rPr>
          <w:rStyle w:val="Appelnotedebasdep"/>
          <w:rFonts w:ascii="Traditional Arabic" w:hAnsi="Traditional Arabic" w:cs="Traditional Arabic"/>
          <w:color w:val="000000"/>
          <w:sz w:val="36"/>
          <w:szCs w:val="36"/>
        </w:rPr>
        <w:footnoteReference w:id="4"/>
      </w:r>
      <w:r w:rsidR="0014108E" w:rsidRPr="0014108E">
        <w:rPr>
          <w:rFonts w:ascii="Traditional Arabic" w:hAnsi="Traditional Arabic" w:cs="Traditional Arabic"/>
          <w:color w:val="000000"/>
          <w:sz w:val="36"/>
          <w:szCs w:val="36"/>
        </w:rPr>
        <w:br/>
      </w:r>
      <w:r>
        <w:rPr>
          <w:rStyle w:val="fontstyle01"/>
          <w:rFonts w:hint="cs"/>
          <w:sz w:val="36"/>
          <w:szCs w:val="36"/>
          <w:rtl/>
        </w:rPr>
        <w:t xml:space="preserve">  </w:t>
      </w:r>
      <w:r w:rsidR="0014108E" w:rsidRPr="0014108E">
        <w:rPr>
          <w:rStyle w:val="fontstyle01"/>
          <w:sz w:val="36"/>
          <w:szCs w:val="36"/>
          <w:rtl/>
        </w:rPr>
        <w:t>فإذا كان ذلك كذلك، فما هي يا ترى العوامل الفكرية والتاريخية، التي تح ّكمت في مسار البحث</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الاستشراقي في مجال الدراسات الأدبية ؟</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sidR="0014108E" w:rsidRPr="0014108E">
        <w:rPr>
          <w:rStyle w:val="fontstyle31"/>
        </w:rPr>
        <w:t>-</w:t>
      </w:r>
      <w:r w:rsidR="0014108E" w:rsidRPr="0014108E">
        <w:rPr>
          <w:rStyle w:val="fontstyle31"/>
          <w:rtl/>
        </w:rPr>
        <w:t>العوامل الفكرية والتاريخية</w:t>
      </w:r>
      <w:r w:rsidR="0014108E" w:rsidRPr="0014108E">
        <w:rPr>
          <w:rStyle w:val="fontstyle31"/>
        </w:rPr>
        <w:t>:</w:t>
      </w:r>
      <w:r w:rsidR="0014108E" w:rsidRPr="0014108E">
        <w:rPr>
          <w:rFonts w:ascii="Traditional Arabic" w:hAnsi="Traditional Arabic" w:cs="Traditional Arabic"/>
          <w:b/>
          <w:bCs/>
          <w:color w:val="000000"/>
          <w:sz w:val="36"/>
          <w:szCs w:val="36"/>
        </w:rPr>
        <w:br/>
      </w:r>
      <w:r w:rsidR="0014108E" w:rsidRPr="0014108E">
        <w:rPr>
          <w:rFonts w:ascii="Traditional Arabic" w:hAnsi="Traditional Arabic" w:cs="Traditional Arabic"/>
          <w:color w:val="000000"/>
          <w:sz w:val="36"/>
          <w:szCs w:val="36"/>
        </w:rPr>
        <w:br/>
      </w:r>
      <w:r w:rsidR="0014108E" w:rsidRPr="0014108E">
        <w:rPr>
          <w:rStyle w:val="fontstyle01"/>
          <w:sz w:val="36"/>
          <w:szCs w:val="36"/>
          <w:rtl/>
        </w:rPr>
        <w:lastRenderedPageBreak/>
        <w:t xml:space="preserve">تُعّد العوامل </w:t>
      </w:r>
      <w:r w:rsidRPr="0014108E">
        <w:rPr>
          <w:rStyle w:val="fontstyle01"/>
          <w:sz w:val="36"/>
          <w:szCs w:val="36"/>
          <w:rtl/>
        </w:rPr>
        <w:t xml:space="preserve">المعرفية </w:t>
      </w:r>
      <w:r>
        <w:rPr>
          <w:rStyle w:val="fontstyle01"/>
          <w:sz w:val="36"/>
          <w:szCs w:val="36"/>
          <w:rtl/>
        </w:rPr>
        <w:t>من أهم الموِّ</w:t>
      </w:r>
      <w:r w:rsidR="0014108E" w:rsidRPr="0014108E">
        <w:rPr>
          <w:rStyle w:val="fontstyle01"/>
          <w:sz w:val="36"/>
          <w:szCs w:val="36"/>
          <w:rtl/>
        </w:rPr>
        <w:t>جهات، التيكّرست منظور (المركز) و(الهامش) في العقلية الأوربية</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طيلة القرن التاسع عشر، ونعني بها ذاك المنهج الفكري، الذي دفع بأوربا إلى حرص شديد على منزعْين</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اثنْين، "بهما تحّددت فلسفة المناهج المعرفية قاطبة، فأولهما منزع الوعي بأثر التاريخ وفعله في صيرورة الإنسان، وثانيهما منزع البحث عن القوانين المتحكمة في كل الظواهر: الطبيعية والإنسانية</w:t>
      </w:r>
      <w:r>
        <w:rPr>
          <w:rStyle w:val="fontstyle01"/>
          <w:rFonts w:hint="cs"/>
          <w:sz w:val="36"/>
          <w:szCs w:val="36"/>
          <w:rtl/>
        </w:rPr>
        <w:t>"</w:t>
      </w:r>
      <w:r>
        <w:rPr>
          <w:rStyle w:val="Appelnotedebasdep"/>
          <w:rFonts w:ascii="Traditional Arabic" w:hAnsi="Traditional Arabic" w:cs="Traditional Arabic"/>
          <w:color w:val="000000"/>
          <w:sz w:val="36"/>
          <w:szCs w:val="36"/>
          <w:rtl/>
        </w:rPr>
        <w:footnoteReference w:id="5"/>
      </w:r>
      <w:r w:rsidR="00E966AF">
        <w:rPr>
          <w:rStyle w:val="fontstyle01"/>
          <w:rFonts w:hint="cs"/>
          <w:sz w:val="36"/>
          <w:szCs w:val="36"/>
          <w:rtl/>
        </w:rPr>
        <w:t xml:space="preserve"> </w:t>
      </w:r>
      <w:r w:rsidR="0014108E" w:rsidRPr="0014108E">
        <w:rPr>
          <w:rStyle w:val="fontstyle01"/>
          <w:sz w:val="36"/>
          <w:szCs w:val="36"/>
          <w:rtl/>
        </w:rPr>
        <w:t>فقد اصطبغ</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النسيج الثقافي</w:t>
      </w:r>
      <w:r>
        <w:rPr>
          <w:rStyle w:val="fontstyle01"/>
          <w:sz w:val="36"/>
          <w:szCs w:val="36"/>
          <w:rtl/>
        </w:rPr>
        <w:t xml:space="preserve"> العام بهذيْن المنزعْين، حتى </w:t>
      </w:r>
      <w:r w:rsidR="0014108E" w:rsidRPr="0014108E">
        <w:rPr>
          <w:rStyle w:val="fontstyle01"/>
          <w:sz w:val="36"/>
          <w:szCs w:val="36"/>
          <w:rtl/>
        </w:rPr>
        <w:t xml:space="preserve"> </w:t>
      </w:r>
      <w:r w:rsidR="00E966AF">
        <w:rPr>
          <w:rStyle w:val="fontstyle01"/>
          <w:rFonts w:hint="cs"/>
          <w:sz w:val="36"/>
          <w:szCs w:val="36"/>
          <w:rtl/>
        </w:rPr>
        <w:t xml:space="preserve">مس </w:t>
      </w:r>
      <w:r w:rsidR="00E966AF">
        <w:rPr>
          <w:rStyle w:val="fontstyle01"/>
          <w:sz w:val="36"/>
          <w:szCs w:val="36"/>
          <w:rtl/>
        </w:rPr>
        <w:t>ج</w:t>
      </w:r>
      <w:r w:rsidR="0014108E" w:rsidRPr="0014108E">
        <w:rPr>
          <w:rStyle w:val="fontstyle01"/>
          <w:sz w:val="36"/>
          <w:szCs w:val="36"/>
          <w:rtl/>
        </w:rPr>
        <w:t>ل المعارف الطبيعية والانسانية. ويذكر تاريخ المعرفة</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فضلا كبيرا للفلسفة التاريخية الألمانية، والفلسفة الوضعية الفرنس</w:t>
      </w:r>
      <w:r w:rsidR="00E966AF">
        <w:rPr>
          <w:rStyle w:val="fontstyle01"/>
          <w:sz w:val="36"/>
          <w:szCs w:val="36"/>
          <w:rtl/>
        </w:rPr>
        <w:t>ية على يدي (أوكست كونت) الذي ب</w:t>
      </w:r>
      <w:r w:rsidR="0014108E" w:rsidRPr="0014108E">
        <w:rPr>
          <w:rStyle w:val="fontstyle01"/>
          <w:sz w:val="36"/>
          <w:szCs w:val="36"/>
          <w:rtl/>
        </w:rPr>
        <w:t>شر</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الانسانية بتجاوز عهد الّلاهوت وعهد التفسيرات الميتافيزيقية لتصل إلى العصر الوضعي، وعلى نفس الخط</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عمل (إيميل دوركايم) )</w:t>
      </w:r>
      <w:r w:rsidR="00E966AF" w:rsidRPr="0014108E">
        <w:rPr>
          <w:rStyle w:val="fontstyle01"/>
          <w:sz w:val="36"/>
          <w:szCs w:val="36"/>
          <w:rtl/>
        </w:rPr>
        <w:t xml:space="preserve"> </w:t>
      </w:r>
      <w:r w:rsidR="0014108E" w:rsidRPr="0014108E">
        <w:rPr>
          <w:rStyle w:val="fontstyle01"/>
          <w:sz w:val="36"/>
          <w:szCs w:val="36"/>
        </w:rPr>
        <w:t>( Émile Durkheim</w:t>
      </w:r>
      <w:r w:rsidR="00E966AF">
        <w:rPr>
          <w:rStyle w:val="fontstyle01"/>
          <w:rFonts w:hint="cs"/>
          <w:sz w:val="36"/>
          <w:szCs w:val="36"/>
          <w:rtl/>
        </w:rPr>
        <w:t xml:space="preserve"> 1858-  1917</w:t>
      </w:r>
      <w:r w:rsidR="0014108E" w:rsidRPr="0014108E">
        <w:rPr>
          <w:rStyle w:val="fontstyle01"/>
          <w:sz w:val="36"/>
          <w:szCs w:val="36"/>
          <w:rtl/>
        </w:rPr>
        <w:t>على إضفاء المنهجية العلمية في دراسة</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الظاهرة الاجت</w:t>
      </w:r>
      <w:r w:rsidR="00E966AF">
        <w:rPr>
          <w:rStyle w:val="fontstyle01"/>
          <w:sz w:val="36"/>
          <w:szCs w:val="36"/>
          <w:rtl/>
        </w:rPr>
        <w:t>ماعية، عبر تلمس قوانينها الخفيّ</w:t>
      </w:r>
      <w:r w:rsidR="0014108E" w:rsidRPr="0014108E">
        <w:rPr>
          <w:rStyle w:val="fontstyle01"/>
          <w:sz w:val="36"/>
          <w:szCs w:val="36"/>
        </w:rPr>
        <w:t>.</w:t>
      </w:r>
      <w:r w:rsidR="00E966AF" w:rsidRPr="0014108E">
        <w:rPr>
          <w:rFonts w:ascii="Traditional Arabic" w:hAnsi="Traditional Arabic" w:cs="Traditional Arabic"/>
          <w:color w:val="000000"/>
          <w:sz w:val="36"/>
          <w:szCs w:val="36"/>
        </w:rPr>
        <w:t xml:space="preserve"> </w:t>
      </w:r>
      <w:r w:rsidR="00E966AF">
        <w:rPr>
          <w:rStyle w:val="Appelnotedebasdep"/>
          <w:rFonts w:ascii="Traditional Arabic" w:hAnsi="Traditional Arabic" w:cs="Traditional Arabic"/>
          <w:color w:val="000000"/>
          <w:sz w:val="36"/>
          <w:szCs w:val="36"/>
        </w:rPr>
        <w:footnoteReference w:id="6"/>
      </w:r>
      <w:r w:rsidR="0014108E" w:rsidRPr="0014108E">
        <w:rPr>
          <w:rFonts w:ascii="Traditional Arabic" w:hAnsi="Traditional Arabic" w:cs="Traditional Arabic"/>
          <w:color w:val="000000"/>
          <w:sz w:val="36"/>
          <w:szCs w:val="36"/>
        </w:rPr>
        <w:br/>
      </w:r>
      <w:r w:rsidR="00E966AF">
        <w:rPr>
          <w:rStyle w:val="fontstyle01"/>
          <w:rFonts w:hint="cs"/>
          <w:sz w:val="36"/>
          <w:szCs w:val="36"/>
          <w:rtl/>
        </w:rPr>
        <w:t xml:space="preserve">  </w:t>
      </w:r>
      <w:r w:rsidR="0014108E" w:rsidRPr="0014108E">
        <w:rPr>
          <w:rStyle w:val="fontstyle01"/>
          <w:sz w:val="36"/>
          <w:szCs w:val="36"/>
          <w:rtl/>
        </w:rPr>
        <w:t>لعل من أهم التجليّات المعرفية لمنزع الوعي التاريخي، حرص أوربا على أن تحفر في بحث حثيث</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عن أصولها وفلسفاتها القديمة، منطلقة من فكرة كون الهويّة الأوربية متفّوقة، مقارنة مع جميع الشعوب</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والثقافات غير الأوربية، لا سيما الشرقية منها، فالشرق و"لأسباب تتصل بالتاريخ والجغرافيا هو الميدان</w:t>
      </w:r>
      <w:r w:rsidR="00E966AF">
        <w:rPr>
          <w:rFonts w:ascii="Traditional Arabic" w:hAnsi="Traditional Arabic" w:cs="Traditional Arabic" w:hint="cs"/>
          <w:color w:val="000000"/>
          <w:sz w:val="36"/>
          <w:szCs w:val="36"/>
          <w:rtl/>
        </w:rPr>
        <w:t xml:space="preserve"> </w:t>
      </w:r>
      <w:r w:rsidR="00E966AF">
        <w:rPr>
          <w:rStyle w:val="fontstyle01"/>
          <w:sz w:val="36"/>
          <w:szCs w:val="36"/>
          <w:rtl/>
        </w:rPr>
        <w:t>المف</w:t>
      </w:r>
      <w:r w:rsidR="0014108E" w:rsidRPr="0014108E">
        <w:rPr>
          <w:rStyle w:val="fontstyle01"/>
          <w:sz w:val="36"/>
          <w:szCs w:val="36"/>
          <w:rtl/>
        </w:rPr>
        <w:t>ضل للاختبار، وكان الاستشراق هو الوسيلة التجريبيّة التي ُوِّظّفت للتعبير عن تلك الأهداف الأساسية،</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في مسار الفكر الغربي قديما وحديثا</w:t>
      </w:r>
      <w:r w:rsidR="0014108E" w:rsidRPr="0014108E">
        <w:rPr>
          <w:rStyle w:val="fontstyle01"/>
          <w:sz w:val="36"/>
          <w:szCs w:val="36"/>
        </w:rPr>
        <w:t>"</w:t>
      </w:r>
      <w:r w:rsidR="00E966AF">
        <w:rPr>
          <w:rStyle w:val="Appelnotedebasdep"/>
          <w:rFonts w:ascii="Traditional Arabic" w:hAnsi="Traditional Arabic" w:cs="Traditional Arabic"/>
          <w:color w:val="000000"/>
          <w:sz w:val="36"/>
          <w:szCs w:val="36"/>
        </w:rPr>
        <w:footnoteReference w:id="7"/>
      </w:r>
      <w:r w:rsidR="0014108E" w:rsidRPr="0014108E">
        <w:rPr>
          <w:rFonts w:ascii="Traditional Arabic" w:hAnsi="Traditional Arabic" w:cs="Traditional Arabic"/>
          <w:color w:val="000000"/>
          <w:sz w:val="36"/>
          <w:szCs w:val="36"/>
        </w:rPr>
        <w:br/>
      </w:r>
      <w:r w:rsidR="00E966AF">
        <w:rPr>
          <w:rStyle w:val="fontstyle01"/>
          <w:rFonts w:hint="cs"/>
          <w:sz w:val="36"/>
          <w:szCs w:val="36"/>
          <w:rtl/>
        </w:rPr>
        <w:t xml:space="preserve">  </w:t>
      </w:r>
      <w:r w:rsidR="0014108E" w:rsidRPr="0014108E">
        <w:rPr>
          <w:rStyle w:val="fontstyle01"/>
          <w:sz w:val="36"/>
          <w:szCs w:val="36"/>
          <w:rtl/>
        </w:rPr>
        <w:t>والواقع أن ما حدث في أوربا في البدايات، كان تكريسا لمنطلق فلسف ّي أساس ّي هو: فكرة (الوحدة</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والاستمرارية.) إذ لطالما ساد في استيراتيجية أوربا التنو</w:t>
      </w:r>
      <w:r w:rsidR="00E966AF">
        <w:rPr>
          <w:rStyle w:val="fontstyle01"/>
          <w:sz w:val="36"/>
          <w:szCs w:val="36"/>
          <w:rtl/>
        </w:rPr>
        <w:t>ير ثم النهضة، وبدافع من نرجسيّة</w:t>
      </w:r>
      <w:r w:rsidR="00E966AF">
        <w:rPr>
          <w:rStyle w:val="fontstyle01"/>
          <w:rFonts w:hint="cs"/>
          <w:sz w:val="36"/>
          <w:szCs w:val="36"/>
          <w:rtl/>
        </w:rPr>
        <w:t xml:space="preserve"> </w:t>
      </w:r>
      <w:r w:rsidR="0014108E" w:rsidRPr="0014108E">
        <w:rPr>
          <w:rStyle w:val="fontstyle01"/>
          <w:sz w:val="36"/>
          <w:szCs w:val="36"/>
          <w:rtl/>
        </w:rPr>
        <w:t>مرضيّة، أن تنبش</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في تاريخها الغابر إلى اليونان والإغريق واليونا</w:t>
      </w:r>
      <w:r w:rsidR="00E966AF">
        <w:rPr>
          <w:rStyle w:val="fontstyle01"/>
          <w:sz w:val="36"/>
          <w:szCs w:val="36"/>
          <w:rtl/>
        </w:rPr>
        <w:t>ن، فترَّشح منه ما يدّل على مسحة</w:t>
      </w:r>
      <w:r w:rsidR="00E966AF">
        <w:rPr>
          <w:rStyle w:val="fontstyle01"/>
          <w:rFonts w:hint="cs"/>
          <w:sz w:val="36"/>
          <w:szCs w:val="36"/>
          <w:rtl/>
        </w:rPr>
        <w:t xml:space="preserve"> </w:t>
      </w:r>
      <w:r w:rsidR="0014108E" w:rsidRPr="0014108E">
        <w:rPr>
          <w:rStyle w:val="fontstyle01"/>
          <w:sz w:val="36"/>
          <w:szCs w:val="36"/>
          <w:rtl/>
        </w:rPr>
        <w:t>(الوحدة والاستمرارية) في</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 xml:space="preserve">نسق التاريخ وأحداثه وغائيته، في متتالية </w:t>
      </w:r>
      <w:r w:rsidR="00E966AF">
        <w:rPr>
          <w:rStyle w:val="fontstyle01"/>
          <w:sz w:val="36"/>
          <w:szCs w:val="36"/>
          <w:rtl/>
        </w:rPr>
        <w:t>خ ِّطّية تفضي إلى نهاية محّددة،</w:t>
      </w:r>
      <w:r w:rsidR="00E966AF">
        <w:rPr>
          <w:rStyle w:val="fontstyle01"/>
          <w:rFonts w:hint="cs"/>
          <w:sz w:val="36"/>
          <w:szCs w:val="36"/>
          <w:rtl/>
        </w:rPr>
        <w:t xml:space="preserve"> </w:t>
      </w:r>
      <w:r w:rsidR="00E966AF">
        <w:rPr>
          <w:rStyle w:val="fontstyle01"/>
          <w:sz w:val="36"/>
          <w:szCs w:val="36"/>
          <w:rtl/>
        </w:rPr>
        <w:t>فيها يتفّوق الانسان الأورب</w:t>
      </w:r>
      <w:r w:rsidR="0014108E" w:rsidRPr="0014108E">
        <w:rPr>
          <w:rStyle w:val="fontstyle01"/>
          <w:sz w:val="36"/>
          <w:szCs w:val="36"/>
          <w:rtl/>
        </w:rPr>
        <w:t>ي</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بحضارته وفكره وعلمه. فبعد أنكان المنهج المعمول به هو ال ّسرد التاريخي، بتتبع مسار أوربا تاريخيا، تحَّول</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هذا المنهج مع بحوث فلسفة التاريخ، مسلكا آخر يستنبط القوانين والقواعد المتعسفة في تصوراتها</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ومنطلقاتها</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sidR="00E966AF">
        <w:rPr>
          <w:rStyle w:val="fontstyle01"/>
          <w:rFonts w:hint="cs"/>
          <w:sz w:val="36"/>
          <w:szCs w:val="36"/>
          <w:rtl/>
        </w:rPr>
        <w:t xml:space="preserve"> </w:t>
      </w:r>
      <w:r w:rsidR="0014108E" w:rsidRPr="0014108E">
        <w:rPr>
          <w:rStyle w:val="fontstyle01"/>
          <w:sz w:val="36"/>
          <w:szCs w:val="36"/>
          <w:rtl/>
        </w:rPr>
        <w:t>وقد أطّر الجابري فكرة الوحدة والاستمرارية، زمنيّا ضمن الممارسات التي انتعشت في القرن التاسع</w:t>
      </w:r>
      <w:r w:rsidR="0014108E" w:rsidRPr="0014108E">
        <w:rPr>
          <w:rFonts w:ascii="Traditional Arabic" w:hAnsi="Traditional Arabic" w:cs="Traditional Arabic"/>
          <w:color w:val="000000"/>
          <w:sz w:val="36"/>
          <w:szCs w:val="36"/>
        </w:rPr>
        <w:br/>
      </w:r>
      <w:r w:rsidR="0014108E" w:rsidRPr="0014108E">
        <w:rPr>
          <w:rStyle w:val="fontstyle01"/>
          <w:sz w:val="36"/>
          <w:szCs w:val="36"/>
          <w:rtl/>
        </w:rPr>
        <w:lastRenderedPageBreak/>
        <w:t>عشر وبداية القرن العشرين، وهي الفترة التي "نشطتفيها الحركة الاستشراقية نشاطا واسع النطاق، يهدف</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إلى</w:t>
      </w:r>
      <w:r w:rsidR="00E966AF">
        <w:rPr>
          <w:rStyle w:val="fontstyle01"/>
          <w:rFonts w:hint="cs"/>
          <w:sz w:val="36"/>
          <w:szCs w:val="36"/>
          <w:rtl/>
        </w:rPr>
        <w:t xml:space="preserve"> </w:t>
      </w:r>
      <w:r w:rsidR="0014108E" w:rsidRPr="0014108E">
        <w:rPr>
          <w:rStyle w:val="fontstyle01"/>
          <w:sz w:val="36"/>
          <w:szCs w:val="36"/>
          <w:rtl/>
        </w:rPr>
        <w:t>إعادة كتابة التاريخ الثقافي الأورب ّي بصورة تحّقق له الوحدة والاستمرارية من جهة، وتجعل منه التاريخ العام</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للفكر الانساني بأجمعه من جهة أخرى، وهكذا فإذا كان مفكرو القرن الثامن عشر قد عملوا من أجل إدخال لوحدة والاستمرارية في تاريخ الفلسفة الغربية والفكر الغربيعموما، فإن كل القسم الأول من القرن التاسع عشر،</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كان مسرحا لجهود استهدفت تشيّيد البناء الذي لم يكن قد تعّدى العملفيه مرحلة رسم المعالم العامة</w:t>
      </w:r>
      <w:r w:rsidR="00E966AF">
        <w:rPr>
          <w:rStyle w:val="fontstyle21"/>
          <w:rFonts w:ascii="Traditional Arabic" w:hAnsi="Traditional Arabic" w:cs="Traditional Arabic" w:hint="cs"/>
          <w:sz w:val="36"/>
          <w:szCs w:val="36"/>
          <w:rtl/>
        </w:rPr>
        <w:t>"</w:t>
      </w:r>
      <w:r w:rsidR="00E966AF">
        <w:rPr>
          <w:rStyle w:val="Appelnotedebasdep"/>
          <w:rFonts w:ascii="Traditional Arabic" w:hAnsi="Traditional Arabic" w:cs="Traditional Arabic"/>
          <w:color w:val="000000"/>
          <w:sz w:val="36"/>
          <w:szCs w:val="36"/>
          <w:rtl/>
        </w:rPr>
        <w:footnoteReference w:id="8"/>
      </w:r>
      <w:r w:rsidR="0014108E" w:rsidRPr="0014108E">
        <w:rPr>
          <w:rFonts w:ascii="Traditional Arabic" w:hAnsi="Traditional Arabic" w:cs="Traditional Arabic"/>
          <w:color w:val="000000"/>
          <w:sz w:val="36"/>
          <w:szCs w:val="36"/>
        </w:rPr>
        <w:br/>
      </w:r>
      <w:r w:rsidR="00E966AF">
        <w:rPr>
          <w:rStyle w:val="fontstyle01"/>
          <w:rFonts w:hint="cs"/>
          <w:sz w:val="36"/>
          <w:szCs w:val="36"/>
          <w:rtl/>
        </w:rPr>
        <w:t xml:space="preserve">  </w:t>
      </w:r>
      <w:r w:rsidR="0014108E" w:rsidRPr="0014108E">
        <w:rPr>
          <w:rStyle w:val="fontstyle01"/>
          <w:sz w:val="36"/>
          <w:szCs w:val="36"/>
          <w:rtl/>
        </w:rPr>
        <w:t>إن الغاية الأساسية من هذا المنهج في فلسفة التاريخ وفق منظور فلاسفة الغرب، هي الوصول إلى</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 xml:space="preserve">مقولة وحدة التاريخ الانسان ّي، في ضوء الاعتراف بالقوانين </w:t>
      </w:r>
      <w:r w:rsidR="00E966AF">
        <w:rPr>
          <w:rStyle w:val="fontstyle01"/>
          <w:sz w:val="36"/>
          <w:szCs w:val="36"/>
          <w:rtl/>
        </w:rPr>
        <w:t>التي تحكم المسار التاريخي للأمم</w:t>
      </w:r>
      <w:r w:rsidR="00E966AF">
        <w:rPr>
          <w:rStyle w:val="fontstyle01"/>
          <w:rFonts w:hint="cs"/>
          <w:sz w:val="36"/>
          <w:szCs w:val="36"/>
          <w:rtl/>
        </w:rPr>
        <w:t xml:space="preserve"> </w:t>
      </w:r>
      <w:r w:rsidR="0014108E" w:rsidRPr="0014108E">
        <w:rPr>
          <w:rStyle w:val="fontstyle01"/>
          <w:sz w:val="36"/>
          <w:szCs w:val="36"/>
          <w:rtl/>
        </w:rPr>
        <w:t>والشعوب</w:t>
      </w:r>
      <w:r w:rsidR="0014108E" w:rsidRPr="0014108E">
        <w:rPr>
          <w:rStyle w:val="fontstyle01"/>
          <w:sz w:val="36"/>
          <w:szCs w:val="36"/>
        </w:rPr>
        <w:t>.</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ويذهب الدكتور عبد الله إبراهيم إلى أن الرؤية التي يستند إليها هذا المنهج؛ هي "ضرورة استنباط الأنساق</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الداخلية التي تتحكم بعملية الفكر، وإبراز الأنظمة المسيطرة والموّجهة والكامنة في الأحداث والظواهر، كل</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ذلك بهدف العثور على وحدة تلك الأحداث، وتجانس تلك الظواهر، وبيان وحدتها وتماسكها وغايتها،</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بهدف تخليص الفكر من تناقضاته الداخلية، ثم صياغته صوغا متدرجا في نظام زمن ّي صاعد ذي غاية،</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تترتب فيه المفاهيم والتصورات في مرحلة أولى، ثم تخضع فيه الظواهر المدروسة لسلطة تلك المفاهيم</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والتصورات، وذلك بحذفكل ما يتناقض مع مقاصد المفاهيم التي رّكب الموضوع ليوافق غاياتها، وصولا إلى</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إبراز الظاهرة بوصفها وحدة منسجمة ومتماسكة</w:t>
      </w:r>
      <w:r w:rsidR="0014108E" w:rsidRPr="0014108E">
        <w:rPr>
          <w:rStyle w:val="fontstyle01"/>
          <w:sz w:val="36"/>
          <w:szCs w:val="36"/>
        </w:rPr>
        <w:t>"</w:t>
      </w:r>
      <w:r w:rsidR="00E966AF">
        <w:rPr>
          <w:rStyle w:val="Appelnotedebasdep"/>
          <w:rFonts w:ascii="Traditional Arabic" w:hAnsi="Traditional Arabic" w:cs="Traditional Arabic"/>
          <w:color w:val="000000"/>
          <w:sz w:val="36"/>
          <w:szCs w:val="36"/>
        </w:rPr>
        <w:footnoteReference w:id="9"/>
      </w:r>
      <w:r w:rsidR="00E966AF">
        <w:rPr>
          <w:rStyle w:val="fontstyle01"/>
          <w:rFonts w:hint="cs"/>
          <w:sz w:val="36"/>
          <w:szCs w:val="36"/>
          <w:rtl/>
        </w:rPr>
        <w:t xml:space="preserve"> </w:t>
      </w:r>
      <w:r w:rsidR="00E966AF">
        <w:rPr>
          <w:rStyle w:val="fontstyle01"/>
          <w:sz w:val="36"/>
          <w:szCs w:val="36"/>
          <w:rtl/>
        </w:rPr>
        <w:t>و</w:t>
      </w:r>
      <w:r w:rsidR="0014108E" w:rsidRPr="0014108E">
        <w:rPr>
          <w:rStyle w:val="fontstyle01"/>
          <w:sz w:val="36"/>
          <w:szCs w:val="36"/>
          <w:rtl/>
        </w:rPr>
        <w:t>تجاوبا مع فكرة (الوحدة والاستمرارية) ومفهومها العام، تّم القيام بعملية انتقائية، للتواريخ</w:t>
      </w:r>
      <w:r w:rsidR="00E966AF">
        <w:rPr>
          <w:rFonts w:ascii="Traditional Arabic" w:hAnsi="Traditional Arabic" w:cs="Traditional Arabic" w:hint="cs"/>
          <w:color w:val="000000"/>
          <w:sz w:val="36"/>
          <w:szCs w:val="36"/>
          <w:rtl/>
        </w:rPr>
        <w:t xml:space="preserve"> </w:t>
      </w:r>
      <w:r w:rsidR="00E966AF">
        <w:rPr>
          <w:rStyle w:val="fontstyle01"/>
          <w:sz w:val="36"/>
          <w:szCs w:val="36"/>
          <w:rtl/>
        </w:rPr>
        <w:t>والأحداث التي توافق</w:t>
      </w:r>
      <w:r w:rsidR="00E966AF">
        <w:rPr>
          <w:rStyle w:val="fontstyle01"/>
          <w:rFonts w:hint="cs"/>
          <w:sz w:val="36"/>
          <w:szCs w:val="36"/>
          <w:rtl/>
        </w:rPr>
        <w:t xml:space="preserve"> </w:t>
      </w:r>
      <w:r w:rsidR="0014108E" w:rsidRPr="0014108E">
        <w:rPr>
          <w:rStyle w:val="fontstyle01"/>
          <w:sz w:val="36"/>
          <w:szCs w:val="36"/>
          <w:rtl/>
        </w:rPr>
        <w:t>هوى المركزية الأوربية وحاجاتها في صنع الآخر. فقد اقتنعت المركزية الأوربية "أن</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التاريخ خاضع لقوانين قاّرة، تسير به في اتجاه مرسوم نحو غاية محققة. فالغاية هي المثل الأعلى والمعيار</w:t>
      </w:r>
      <w:r w:rsidR="00E966AF">
        <w:rPr>
          <w:rFonts w:ascii="Traditional Arabic" w:hAnsi="Traditional Arabic" w:cs="Traditional Arabic" w:hint="cs"/>
          <w:color w:val="000000"/>
          <w:sz w:val="36"/>
          <w:szCs w:val="36"/>
          <w:rtl/>
        </w:rPr>
        <w:t xml:space="preserve"> </w:t>
      </w:r>
      <w:r w:rsidR="00E966AF">
        <w:rPr>
          <w:rStyle w:val="fontstyle01"/>
          <w:sz w:val="36"/>
          <w:szCs w:val="36"/>
          <w:rtl/>
        </w:rPr>
        <w:t>الأصل. فتنقسم</w:t>
      </w:r>
      <w:r w:rsidR="00E966AF">
        <w:rPr>
          <w:rStyle w:val="fontstyle01"/>
          <w:rFonts w:hint="cs"/>
          <w:sz w:val="36"/>
          <w:szCs w:val="36"/>
          <w:rtl/>
        </w:rPr>
        <w:t xml:space="preserve"> </w:t>
      </w:r>
      <w:r w:rsidR="0014108E" w:rsidRPr="0014108E">
        <w:rPr>
          <w:rStyle w:val="fontstyle01"/>
          <w:sz w:val="36"/>
          <w:szCs w:val="36"/>
          <w:rtl/>
        </w:rPr>
        <w:t>أعمال البشر إلى ثلاثة أقسام: تلك التي تع ّجل بتحقيق الغاية، وتلك التي تعرقل، وأخيرا تلك</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التي لا تؤثر سلبا ولا إيجابا. يمكن الحكم على كل فئة بموضوعية: الأولى: حسنة تستحق الثناء. والثانية</w:t>
      </w:r>
      <w:r w:rsidR="0014108E" w:rsidRPr="0014108E">
        <w:rPr>
          <w:rStyle w:val="fontstyle01"/>
          <w:sz w:val="36"/>
          <w:szCs w:val="36"/>
        </w:rPr>
        <w:t>:</w:t>
      </w:r>
      <w:r w:rsidR="00E966AF">
        <w:rPr>
          <w:rFonts w:ascii="Traditional Arabic" w:hAnsi="Traditional Arabic" w:cs="Traditional Arabic" w:hint="cs"/>
          <w:color w:val="000000"/>
          <w:sz w:val="36"/>
          <w:szCs w:val="36"/>
          <w:rtl/>
        </w:rPr>
        <w:t xml:space="preserve"> </w:t>
      </w:r>
      <w:r w:rsidR="00E966AF" w:rsidRPr="0014108E">
        <w:rPr>
          <w:rStyle w:val="fontstyle01"/>
          <w:sz w:val="36"/>
          <w:szCs w:val="36"/>
          <w:rtl/>
        </w:rPr>
        <w:t>سيّئة تستحق الذم</w:t>
      </w:r>
      <w:r w:rsidR="0014108E" w:rsidRPr="0014108E">
        <w:rPr>
          <w:rStyle w:val="fontstyle01"/>
          <w:sz w:val="36"/>
          <w:szCs w:val="36"/>
          <w:rtl/>
        </w:rPr>
        <w:t>. والثالثة: لا حكم لها. كل عمل موافق للغاية المرسومة، علاوة على كونه فاضلا،</w:t>
      </w:r>
      <w:r w:rsidR="00E966AF">
        <w:rPr>
          <w:rStyle w:val="fontstyle01"/>
          <w:rFonts w:hint="cs"/>
          <w:sz w:val="36"/>
          <w:szCs w:val="36"/>
          <w:rtl/>
        </w:rPr>
        <w:t xml:space="preserve"> </w:t>
      </w:r>
      <w:r w:rsidR="00E966AF" w:rsidRPr="0014108E">
        <w:rPr>
          <w:rStyle w:val="fontstyle01"/>
          <w:sz w:val="36"/>
          <w:szCs w:val="36"/>
          <w:rtl/>
        </w:rPr>
        <w:t>منطقي</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 xml:space="preserve">ومعقول إذ يساير تطورا حاصلا لا محالة. والعمل المنافي للغاية المرسومة في التاريخ بئيس </w:t>
      </w:r>
      <w:r w:rsidR="0014108E" w:rsidRPr="0014108E">
        <w:rPr>
          <w:rStyle w:val="fontstyle01"/>
          <w:sz w:val="36"/>
          <w:szCs w:val="36"/>
          <w:rtl/>
        </w:rPr>
        <w:lastRenderedPageBreak/>
        <w:t>ممقوت، وفي</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الوقت نفسه تافه إذ يعارض ما لا يمكن معارضته واتقاؤه.</w:t>
      </w:r>
      <w:r w:rsidR="00E966AF">
        <w:rPr>
          <w:rStyle w:val="fontstyle01"/>
          <w:sz w:val="36"/>
          <w:szCs w:val="36"/>
          <w:rtl/>
        </w:rPr>
        <w:t xml:space="preserve"> هذا يعني أن مرتكبه لم يتقن بع</w:t>
      </w:r>
      <w:r w:rsidR="0014108E" w:rsidRPr="0014108E">
        <w:rPr>
          <w:rStyle w:val="fontstyle01"/>
          <w:sz w:val="36"/>
          <w:szCs w:val="36"/>
          <w:rtl/>
        </w:rPr>
        <w:t>د علم قوانين</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التاريخ، فيجب إما تلقينه تلك القوانين إذا كان في ذلك حاجة إلى تعليم، وإما معالجته إذا كان يعرفها ويكابر</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في الاعتراف بها. يتعلق الأمر في هذه الحالة بتقويم انحراف، لا بالانتقام من جريمته، والغاية من العلاج هو</w:t>
      </w:r>
      <w:r w:rsidR="00E966AF">
        <w:rPr>
          <w:rFonts w:ascii="Traditional Arabic" w:hAnsi="Traditional Arabic" w:cs="Traditional Arabic" w:hint="cs"/>
          <w:color w:val="000000"/>
          <w:sz w:val="36"/>
          <w:szCs w:val="36"/>
          <w:rtl/>
        </w:rPr>
        <w:t xml:space="preserve"> </w:t>
      </w:r>
      <w:r w:rsidR="0014108E" w:rsidRPr="0014108E">
        <w:rPr>
          <w:rStyle w:val="fontstyle01"/>
          <w:sz w:val="36"/>
          <w:szCs w:val="36"/>
          <w:rtl/>
        </w:rPr>
        <w:t>اعتراف المنحرف بخطئه و</w:t>
      </w:r>
      <w:r w:rsidR="00E966AF">
        <w:rPr>
          <w:rStyle w:val="fontstyle01"/>
          <w:sz w:val="36"/>
          <w:szCs w:val="36"/>
          <w:rtl/>
        </w:rPr>
        <w:t>بتحمل مسؤوليته عنكل ما ترتّب عن</w:t>
      </w:r>
      <w:r w:rsidR="00E966AF">
        <w:rPr>
          <w:rStyle w:val="fontstyle01"/>
          <w:rFonts w:hint="cs"/>
          <w:sz w:val="36"/>
          <w:szCs w:val="36"/>
          <w:rtl/>
        </w:rPr>
        <w:t xml:space="preserve"> </w:t>
      </w:r>
      <w:r w:rsidR="0014108E" w:rsidRPr="0014108E">
        <w:rPr>
          <w:rStyle w:val="fontstyle01"/>
          <w:sz w:val="36"/>
          <w:szCs w:val="36"/>
          <w:rtl/>
        </w:rPr>
        <w:t>تهوره</w:t>
      </w:r>
      <w:r w:rsidR="0014108E" w:rsidRPr="0014108E">
        <w:rPr>
          <w:rStyle w:val="fontstyle01"/>
          <w:sz w:val="36"/>
          <w:szCs w:val="36"/>
        </w:rPr>
        <w:t>".</w:t>
      </w:r>
      <w:r w:rsidR="00E966AF">
        <w:rPr>
          <w:rStyle w:val="Appelnotedebasdep"/>
          <w:rFonts w:ascii="Traditional Arabic" w:hAnsi="Traditional Arabic" w:cs="Traditional Arabic"/>
          <w:color w:val="000000"/>
          <w:sz w:val="36"/>
          <w:szCs w:val="36"/>
        </w:rPr>
        <w:footnoteReference w:id="10"/>
      </w:r>
      <w:r w:rsidR="0014108E" w:rsidRPr="0014108E">
        <w:rPr>
          <w:rStyle w:val="fontstyle01"/>
          <w:sz w:val="36"/>
          <w:szCs w:val="36"/>
          <w:rtl/>
        </w:rPr>
        <w:t xml:space="preserve"> </w:t>
      </w:r>
    </w:p>
    <w:p w:rsidR="0014108E" w:rsidRPr="0014108E" w:rsidRDefault="00E966AF" w:rsidP="006D67FA">
      <w:pPr>
        <w:bidi/>
        <w:jc w:val="left"/>
        <w:rPr>
          <w:rStyle w:val="fontstyle01"/>
          <w:sz w:val="36"/>
          <w:szCs w:val="36"/>
          <w:rtl/>
        </w:rPr>
      </w:pPr>
      <w:r>
        <w:rPr>
          <w:rFonts w:ascii="Traditional Arabic" w:hAnsi="Traditional Arabic" w:cs="Traditional Arabic" w:hint="cs"/>
          <w:color w:val="000000"/>
          <w:sz w:val="36"/>
          <w:szCs w:val="36"/>
          <w:rtl/>
        </w:rPr>
        <w:t xml:space="preserve">  </w:t>
      </w:r>
      <w:r>
        <w:rPr>
          <w:rFonts w:ascii="Traditional Arabic" w:hAnsi="Traditional Arabic" w:cs="Traditional Arabic"/>
          <w:color w:val="000000"/>
          <w:sz w:val="36"/>
          <w:szCs w:val="36"/>
          <w:rtl/>
        </w:rPr>
        <w:t>و</w:t>
      </w:r>
      <w:r w:rsidR="0014108E" w:rsidRPr="0014108E">
        <w:rPr>
          <w:rFonts w:ascii="Traditional Arabic" w:hAnsi="Traditional Arabic" w:cs="Traditional Arabic"/>
          <w:color w:val="000000"/>
          <w:sz w:val="36"/>
          <w:szCs w:val="36"/>
          <w:rtl/>
        </w:rPr>
        <w:t>إذا عثر في التاريخ على بعض الحركات الهاّمة، نُظر إليها على أنها نشاز أو استثناء، وأن أ</w:t>
      </w:r>
      <w:r>
        <w:rPr>
          <w:rFonts w:ascii="Traditional Arabic" w:hAnsi="Traditional Arabic" w:cs="Traditional Arabic" w:hint="cs"/>
          <w:color w:val="000000"/>
          <w:sz w:val="36"/>
          <w:szCs w:val="36"/>
          <w:rtl/>
        </w:rPr>
        <w:t>ص</w:t>
      </w:r>
      <w:r w:rsidRPr="0014108E">
        <w:rPr>
          <w:rFonts w:ascii="Traditional Arabic" w:hAnsi="Traditional Arabic" w:cs="Traditional Arabic"/>
          <w:color w:val="000000"/>
          <w:sz w:val="36"/>
          <w:szCs w:val="36"/>
          <w:rtl/>
        </w:rPr>
        <w:t>و</w:t>
      </w:r>
      <w:r>
        <w:rPr>
          <w:rFonts w:ascii="Traditional Arabic" w:hAnsi="Traditional Arabic" w:cs="Traditional Arabic" w:hint="cs"/>
          <w:color w:val="000000"/>
          <w:sz w:val="36"/>
          <w:szCs w:val="36"/>
          <w:rtl/>
        </w:rPr>
        <w:t>لها</w:t>
      </w:r>
      <w:r w:rsidR="0014108E" w:rsidRPr="0014108E">
        <w:rPr>
          <w:rFonts w:ascii="Traditional Arabic" w:hAnsi="Traditional Arabic" w:cs="Traditional Arabic"/>
          <w:color w:val="000000"/>
          <w:sz w:val="36"/>
          <w:szCs w:val="36"/>
        </w:rPr>
        <w:br/>
      </w:r>
      <w:r>
        <w:rPr>
          <w:rFonts w:ascii="Traditional Arabic" w:hAnsi="Traditional Arabic" w:cs="Traditional Arabic"/>
          <w:color w:val="000000"/>
          <w:sz w:val="36"/>
          <w:szCs w:val="36"/>
          <w:rtl/>
        </w:rPr>
        <w:t>لا محالة تمتد في التاريخ الغربي المسيح</w:t>
      </w:r>
      <w:r w:rsidR="0014108E" w:rsidRPr="0014108E">
        <w:rPr>
          <w:rFonts w:ascii="Traditional Arabic" w:hAnsi="Traditional Arabic" w:cs="Traditional Arabic"/>
          <w:color w:val="000000"/>
          <w:sz w:val="36"/>
          <w:szCs w:val="36"/>
          <w:rtl/>
        </w:rPr>
        <w:t>ي، وبهذا المنهج يحصل "كبت تلك التواريخ الأخرى وتُدمج في</w:t>
      </w:r>
      <w:r>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تاريخ واحد هو التاريخ كما يراه الغرب، فلا عجب إذا لاحظنا أحكاما متسرعة تزخر بها المؤلفات التي</w:t>
      </w:r>
      <w:r>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تتحدث عن الفكر العربي في العصر الوسيط...إذ بذلك يتّم إلغاء الاختلافات والتفاوت بين التواريخ كوسيلة</w:t>
      </w:r>
      <w:r>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لطمس أفضلية إحداها في وقت من الأوقات، ليبقى التاريخ كما صنعه الغرب هو وحده الذي يحتكر تلك</w:t>
      </w:r>
      <w:r>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الأفضلية، وينفرد بها باعتباره تاريخا ساخنا يت</w:t>
      </w:r>
      <w:r>
        <w:rPr>
          <w:rFonts w:ascii="Traditional Arabic" w:hAnsi="Traditional Arabic" w:cs="Traditional Arabic"/>
          <w:color w:val="000000"/>
          <w:sz w:val="36"/>
          <w:szCs w:val="36"/>
          <w:rtl/>
        </w:rPr>
        <w:t>ّجه نحو غاية معيّنة، والتقدم هو</w:t>
      </w:r>
      <w:r>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موجهه الأساسي في ذلك</w:t>
      </w:r>
      <w:r>
        <w:rPr>
          <w:rFonts w:ascii="Traditional Arabic" w:hAnsi="Traditional Arabic" w:cs="Traditional Arabic" w:hint="cs"/>
          <w:color w:val="000000"/>
          <w:sz w:val="36"/>
          <w:szCs w:val="36"/>
          <w:rtl/>
        </w:rPr>
        <w:t>"</w:t>
      </w:r>
      <w:r>
        <w:rPr>
          <w:rStyle w:val="Appelnotedebasdep"/>
          <w:rFonts w:ascii="Traditional Arabic" w:hAnsi="Traditional Arabic" w:cs="Traditional Arabic"/>
          <w:color w:val="000000"/>
          <w:sz w:val="36"/>
          <w:szCs w:val="36"/>
        </w:rPr>
        <w:footnoteReference w:id="11"/>
      </w:r>
      <w:r>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إنه لمن لغو القول عند العارفين بخبايا الفكر الغربي، التأكيد على أن من أهّم ما انبثق عن</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فلسفة(الوحدة والاستمرارية)، فكرة وفلسفة (التقدم) التي هيمنت على الغرب الثقافي، دهرا من الزمن، وما</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زال مفعولها ساريا إلى يومنا،</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وقد ظهر</w:t>
      </w:r>
      <w:r w:rsidR="005831EC">
        <w:rPr>
          <w:rFonts w:ascii="Traditional Arabic" w:hAnsi="Traditional Arabic" w:cs="Traditional Arabic"/>
          <w:color w:val="000000"/>
          <w:sz w:val="36"/>
          <w:szCs w:val="36"/>
          <w:rtl/>
        </w:rPr>
        <w:t>ت "في فترة كان الغرب يمارس فيها</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فعلْين متداخلين، يشكلان جوهر</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هويته الذاتية</w:t>
      </w:r>
      <w:r w:rsidR="0014108E" w:rsidRPr="0014108E">
        <w:rPr>
          <w:rFonts w:ascii="Traditional Arabic" w:hAnsi="Traditional Arabic" w:cs="Traditional Arabic"/>
          <w:color w:val="000000"/>
          <w:sz w:val="36"/>
          <w:szCs w:val="36"/>
        </w:rPr>
        <w:t>:</w:t>
      </w:r>
      <w:r w:rsidR="0014108E" w:rsidRPr="0014108E">
        <w:rPr>
          <w:rFonts w:ascii="Traditional Arabic" w:hAnsi="Traditional Arabic" w:cs="Traditional Arabic"/>
          <w:color w:val="000000"/>
          <w:sz w:val="36"/>
          <w:szCs w:val="36"/>
        </w:rPr>
        <w:br/>
      </w:r>
      <w:r w:rsidR="0014108E" w:rsidRPr="0014108E">
        <w:rPr>
          <w:rFonts w:ascii="Traditional Arabic" w:hAnsi="Traditional Arabic" w:cs="Traditional Arabic"/>
          <w:b/>
          <w:bCs/>
          <w:color w:val="000000"/>
          <w:sz w:val="36"/>
          <w:szCs w:val="36"/>
          <w:rtl/>
        </w:rPr>
        <w:t>أولهما</w:t>
      </w:r>
      <w:r w:rsidR="0014108E" w:rsidRPr="0014108E">
        <w:rPr>
          <w:rFonts w:ascii="Traditional Arabic" w:hAnsi="Traditional Arabic" w:cs="Traditional Arabic"/>
          <w:b/>
          <w:bCs/>
          <w:color w:val="000000"/>
          <w:sz w:val="36"/>
          <w:szCs w:val="36"/>
        </w:rPr>
        <w:t xml:space="preserve">: </w:t>
      </w:r>
      <w:r w:rsidR="0014108E" w:rsidRPr="0014108E">
        <w:rPr>
          <w:rFonts w:ascii="Traditional Arabic" w:hAnsi="Traditional Arabic" w:cs="Traditional Arabic"/>
          <w:color w:val="000000"/>
          <w:sz w:val="36"/>
          <w:szCs w:val="36"/>
          <w:rtl/>
        </w:rPr>
        <w:t>إعادة إنتاج غائية لتاريخه، بالبحث عن مقومات ثقافية ودينية وعرفية، تؤصله بوصفه كيانا</w:t>
      </w:r>
      <w:r w:rsidR="0014108E" w:rsidRPr="0014108E">
        <w:rPr>
          <w:rFonts w:ascii="Traditional Arabic" w:hAnsi="Traditional Arabic" w:cs="Traditional Arabic"/>
          <w:color w:val="000000"/>
          <w:sz w:val="36"/>
          <w:szCs w:val="36"/>
        </w:rPr>
        <w:br/>
      </w:r>
      <w:r w:rsidR="0014108E" w:rsidRPr="0014108E">
        <w:rPr>
          <w:rFonts w:ascii="Traditional Arabic" w:hAnsi="Traditional Arabic" w:cs="Traditional Arabic"/>
          <w:color w:val="000000"/>
          <w:sz w:val="36"/>
          <w:szCs w:val="36"/>
          <w:rtl/>
        </w:rPr>
        <w:t>موحدا ومستمرا في التاريخ الإنساني</w:t>
      </w:r>
      <w:r w:rsidR="0014108E" w:rsidRPr="0014108E">
        <w:rPr>
          <w:rFonts w:ascii="Traditional Arabic" w:hAnsi="Traditional Arabic" w:cs="Traditional Arabic"/>
          <w:color w:val="000000"/>
          <w:sz w:val="36"/>
          <w:szCs w:val="36"/>
        </w:rPr>
        <w:t xml:space="preserve"> .</w:t>
      </w:r>
      <w:r w:rsidR="0014108E" w:rsidRPr="0014108E">
        <w:rPr>
          <w:rFonts w:ascii="Traditional Arabic" w:hAnsi="Traditional Arabic" w:cs="Traditional Arabic"/>
          <w:color w:val="000000"/>
          <w:sz w:val="36"/>
          <w:szCs w:val="36"/>
        </w:rPr>
        <w:br/>
      </w:r>
      <w:r w:rsidR="0014108E" w:rsidRPr="0014108E">
        <w:rPr>
          <w:rFonts w:ascii="Traditional Arabic" w:hAnsi="Traditional Arabic" w:cs="Traditional Arabic"/>
          <w:b/>
          <w:bCs/>
          <w:color w:val="000000"/>
          <w:sz w:val="36"/>
          <w:szCs w:val="36"/>
          <w:rtl/>
        </w:rPr>
        <w:t>وثانيها</w:t>
      </w:r>
      <w:r w:rsidR="0014108E" w:rsidRPr="0014108E">
        <w:rPr>
          <w:rFonts w:ascii="Traditional Arabic" w:hAnsi="Traditional Arabic" w:cs="Traditional Arabic"/>
          <w:b/>
          <w:bCs/>
          <w:color w:val="000000"/>
          <w:sz w:val="36"/>
          <w:szCs w:val="36"/>
        </w:rPr>
        <w:t xml:space="preserve">: </w:t>
      </w:r>
      <w:r w:rsidR="0014108E" w:rsidRPr="0014108E">
        <w:rPr>
          <w:rFonts w:ascii="Traditional Arabic" w:hAnsi="Traditional Arabic" w:cs="Traditional Arabic"/>
          <w:color w:val="000000"/>
          <w:sz w:val="36"/>
          <w:szCs w:val="36"/>
          <w:rtl/>
        </w:rPr>
        <w:t>اختزال العلم بالفتح والاحتلال، إلى تابع ساكن وفاقد للحيوية تقتضي الضرورة التاريخية أن</w:t>
      </w:r>
      <w:r w:rsidR="0014108E" w:rsidRPr="0014108E">
        <w:rPr>
          <w:rFonts w:ascii="Traditional Arabic" w:hAnsi="Traditional Arabic" w:cs="Traditional Arabic"/>
          <w:color w:val="000000"/>
          <w:sz w:val="36"/>
          <w:szCs w:val="36"/>
        </w:rPr>
        <w:br/>
      </w:r>
      <w:r w:rsidR="006D67FA">
        <w:rPr>
          <w:rFonts w:ascii="Traditional Arabic" w:hAnsi="Traditional Arabic" w:cs="Traditional Arabic"/>
          <w:color w:val="000000"/>
          <w:sz w:val="36"/>
          <w:szCs w:val="36"/>
          <w:rtl/>
        </w:rPr>
        <w:t>يخترقه الغرب، ليب</w:t>
      </w:r>
      <w:r w:rsidR="0014108E" w:rsidRPr="0014108E">
        <w:rPr>
          <w:rFonts w:ascii="Traditional Arabic" w:hAnsi="Traditional Arabic" w:cs="Traditional Arabic"/>
          <w:color w:val="000000"/>
          <w:sz w:val="36"/>
          <w:szCs w:val="36"/>
          <w:rtl/>
        </w:rPr>
        <w:t xml:space="preserve">ث فيه غاية الحياة المحكومة بسير متّصل </w:t>
      </w:r>
      <w:r w:rsidR="005831EC">
        <w:rPr>
          <w:rFonts w:ascii="Traditional Arabic" w:hAnsi="Traditional Arabic" w:cs="Traditional Arabic"/>
          <w:color w:val="000000"/>
          <w:sz w:val="36"/>
          <w:szCs w:val="36"/>
          <w:rtl/>
        </w:rPr>
        <w:t>ومحتوم نحو هدف سام. والواقع فإن</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هذين</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الفعلين ظلا موضع عناية استثنائية منذ ذلك الوقت إلى الآن، وسيستمران مّدة طويلة، مع الأخذ بعين</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الاعتبار أن تجلياتها تأخذ أشكالا عّدة،</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وفق شرو</w:t>
      </w:r>
      <w:r w:rsidR="005831EC">
        <w:rPr>
          <w:rFonts w:ascii="Traditional Arabic" w:hAnsi="Traditional Arabic" w:cs="Traditional Arabic"/>
          <w:color w:val="000000"/>
          <w:sz w:val="36"/>
          <w:szCs w:val="36"/>
          <w:rtl/>
        </w:rPr>
        <w:t>ط الظرف الموضوعي للغرب أو العال</w:t>
      </w:r>
      <w:r w:rsidR="005831EC">
        <w:rPr>
          <w:rFonts w:ascii="Traditional Arabic" w:hAnsi="Traditional Arabic" w:cs="Traditional Arabic" w:hint="cs"/>
          <w:color w:val="000000"/>
          <w:sz w:val="36"/>
          <w:szCs w:val="36"/>
          <w:rtl/>
        </w:rPr>
        <w:t>م</w:t>
      </w:r>
      <w:r w:rsidR="005831EC">
        <w:rPr>
          <w:rStyle w:val="Appelnotedebasdep"/>
          <w:rFonts w:ascii="Traditional Arabic" w:hAnsi="Traditional Arabic" w:cs="Traditional Arabic"/>
          <w:color w:val="000000"/>
          <w:sz w:val="36"/>
          <w:szCs w:val="36"/>
          <w:rtl/>
        </w:rPr>
        <w:footnoteReference w:id="12"/>
      </w:r>
      <w:r w:rsidR="0014108E" w:rsidRPr="0014108E">
        <w:rPr>
          <w:rFonts w:ascii="Traditional Arabic" w:hAnsi="Traditional Arabic" w:cs="Traditional Arabic"/>
          <w:color w:val="000000"/>
          <w:sz w:val="36"/>
          <w:szCs w:val="36"/>
        </w:rPr>
        <w:t>.</w:t>
      </w:r>
      <w:r w:rsidR="0014108E" w:rsidRPr="0014108E">
        <w:rPr>
          <w:rFonts w:ascii="Traditional Arabic" w:hAnsi="Traditional Arabic" w:cs="Traditional Arabic"/>
          <w:color w:val="000000"/>
          <w:sz w:val="36"/>
          <w:szCs w:val="36"/>
        </w:rPr>
        <w:br/>
      </w:r>
      <w:r w:rsidR="006D67FA">
        <w:rPr>
          <w:rFonts w:ascii="Traditional Arabic" w:hAnsi="Traditional Arabic" w:cs="Traditional Arabic" w:hint="cs"/>
          <w:color w:val="000000"/>
          <w:sz w:val="36"/>
          <w:szCs w:val="36"/>
          <w:rtl/>
        </w:rPr>
        <w:lastRenderedPageBreak/>
        <w:t xml:space="preserve">  </w:t>
      </w:r>
      <w:r w:rsidR="0014108E" w:rsidRPr="0014108E">
        <w:rPr>
          <w:rFonts w:ascii="Traditional Arabic" w:hAnsi="Traditional Arabic" w:cs="Traditional Arabic"/>
          <w:color w:val="000000"/>
          <w:sz w:val="36"/>
          <w:szCs w:val="36"/>
          <w:rtl/>
        </w:rPr>
        <w:t>ويتصل هذان الفعلان، اتصالا وثيقا مع فكرة (الوحدة والاستمراية،) "ويكاد الحديث عن فصل</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بينهما يندرج في باب المستحيل، ذلك أنهما من جهة، الموّجهان اللذان احتضنا هذا المنهج، وأبرزا أهميّته،</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وأنه...</w:t>
      </w:r>
      <w:r w:rsidR="006D67FA">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 xml:space="preserve">من جهة ثانية كان الوسيلة التي اتُّبعت في بناء </w:t>
      </w:r>
      <w:r w:rsidR="005831EC">
        <w:rPr>
          <w:rFonts w:ascii="Traditional Arabic" w:hAnsi="Traditional Arabic" w:cs="Traditional Arabic"/>
          <w:color w:val="000000"/>
          <w:sz w:val="36"/>
          <w:szCs w:val="36"/>
          <w:rtl/>
        </w:rPr>
        <w:t>المضامين التي تش ّكل جوهر وغاية</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الفعلية المذكوريْن،</w:t>
      </w:r>
      <w:r w:rsidR="005831EC">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فإليه يُعزي الفضل في إعادة كتابة تاريخ الغرب، في كل مكّوناته: الفكرية والدينية والعرقية، وإليه أيضا يُعزى</w:t>
      </w:r>
      <w:r w:rsidR="006D67FA">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الفضل في تركيب صورة رغبوية أرادها الغرب للعالم، والنتيجة التي تم ّخضت عن ذلك، أن الغرب أصبح ممثّلا</w:t>
      </w:r>
      <w:r w:rsidR="006D67FA">
        <w:rPr>
          <w:rFonts w:ascii="Traditional Arabic" w:hAnsi="Traditional Arabic" w:cs="Traditional Arabic" w:hint="cs"/>
          <w:color w:val="000000"/>
          <w:sz w:val="36"/>
          <w:szCs w:val="36"/>
          <w:rtl/>
        </w:rPr>
        <w:t xml:space="preserve"> </w:t>
      </w:r>
      <w:r w:rsidR="0014108E" w:rsidRPr="0014108E">
        <w:rPr>
          <w:rFonts w:ascii="Traditional Arabic" w:hAnsi="Traditional Arabic" w:cs="Traditional Arabic"/>
          <w:color w:val="000000"/>
          <w:sz w:val="36"/>
          <w:szCs w:val="36"/>
          <w:rtl/>
        </w:rPr>
        <w:t xml:space="preserve">للعمل الغائ ّي الحسن الذي يستحق التقدير والثناء، وتوافق أفعاله الخطة القدرية المرسومة والحتميّة، لأنها </w:t>
      </w:r>
      <w:r w:rsidR="0014108E" w:rsidRPr="0014108E">
        <w:rPr>
          <w:rStyle w:val="fontstyle01"/>
          <w:sz w:val="36"/>
          <w:szCs w:val="36"/>
          <w:rtl/>
        </w:rPr>
        <w:t>منطقية ومعقولة أما العالم ا</w:t>
      </w:r>
      <w:r w:rsidR="006D67FA">
        <w:rPr>
          <w:rStyle w:val="fontstyle01"/>
          <w:sz w:val="36"/>
          <w:szCs w:val="36"/>
          <w:rtl/>
        </w:rPr>
        <w:t>لآخر فهو بئيس ممقوت، لأنه ينافي</w:t>
      </w:r>
      <w:r w:rsidR="006D67FA">
        <w:rPr>
          <w:rStyle w:val="fontstyle01"/>
          <w:rFonts w:hint="cs"/>
          <w:sz w:val="36"/>
          <w:szCs w:val="36"/>
          <w:rtl/>
        </w:rPr>
        <w:t xml:space="preserve"> </w:t>
      </w:r>
      <w:r w:rsidR="0014108E" w:rsidRPr="0014108E">
        <w:rPr>
          <w:rStyle w:val="fontstyle01"/>
          <w:sz w:val="36"/>
          <w:szCs w:val="36"/>
          <w:rtl/>
        </w:rPr>
        <w:t>الغاية المرسومة، ويعارض ما لا يمكن</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معارضته. الحل الأخلاقي لهذا التناقض، ليس له إلا أسلوب واحد، إذابة العالم في الغرب، أو تغريب العالم،</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لكي تتحقق الغاية، وتمضي الإنسانية في مسيرتها الظافرة إلى النهاية المحتومة</w:t>
      </w:r>
      <w:r w:rsidR="006D67FA">
        <w:rPr>
          <w:rStyle w:val="fontstyle21"/>
          <w:rFonts w:ascii="Traditional Arabic" w:hAnsi="Traditional Arabic" w:cs="Traditional Arabic" w:hint="cs"/>
          <w:sz w:val="36"/>
          <w:szCs w:val="36"/>
          <w:rtl/>
        </w:rPr>
        <w:t>"</w:t>
      </w:r>
      <w:r w:rsidR="006D67FA">
        <w:rPr>
          <w:rStyle w:val="Appelnotedebasdep"/>
          <w:rFonts w:ascii="Traditional Arabic" w:hAnsi="Traditional Arabic" w:cs="Traditional Arabic"/>
          <w:color w:val="000000"/>
          <w:sz w:val="36"/>
          <w:szCs w:val="36"/>
          <w:rtl/>
        </w:rPr>
        <w:footnoteReference w:id="13"/>
      </w:r>
      <w:r w:rsidR="0014108E" w:rsidRPr="0014108E">
        <w:rPr>
          <w:rFonts w:ascii="Traditional Arabic" w:hAnsi="Traditional Arabic" w:cs="Traditional Arabic"/>
          <w:color w:val="000000"/>
          <w:sz w:val="36"/>
          <w:szCs w:val="36"/>
        </w:rPr>
        <w:br/>
      </w:r>
      <w:r w:rsidR="006D67FA">
        <w:rPr>
          <w:rStyle w:val="fontstyle01"/>
          <w:rFonts w:hint="cs"/>
          <w:sz w:val="36"/>
          <w:szCs w:val="36"/>
          <w:rtl/>
        </w:rPr>
        <w:t xml:space="preserve">  </w:t>
      </w:r>
      <w:r w:rsidR="0014108E" w:rsidRPr="0014108E">
        <w:rPr>
          <w:rStyle w:val="fontstyle01"/>
          <w:sz w:val="36"/>
          <w:szCs w:val="36"/>
          <w:rtl/>
        </w:rPr>
        <w:t>والحال أن فكرة التقدم، مدمجة مع فكرة الوحدة والاستمرارية، تعني أن بني البشر محكومون بنمو</w:t>
      </w:r>
      <w:r w:rsidR="006D67FA">
        <w:rPr>
          <w:rFonts w:ascii="Traditional Arabic" w:hAnsi="Traditional Arabic" w:cs="Traditional Arabic" w:hint="cs"/>
          <w:color w:val="000000"/>
          <w:sz w:val="36"/>
          <w:szCs w:val="36"/>
          <w:rtl/>
        </w:rPr>
        <w:t xml:space="preserve"> </w:t>
      </w:r>
      <w:r w:rsidR="006D67FA">
        <w:rPr>
          <w:rStyle w:val="fontstyle01"/>
          <w:sz w:val="36"/>
          <w:szCs w:val="36"/>
          <w:rtl/>
        </w:rPr>
        <w:t>خط</w:t>
      </w:r>
      <w:r w:rsidR="0014108E" w:rsidRPr="0014108E">
        <w:rPr>
          <w:rStyle w:val="fontstyle01"/>
          <w:sz w:val="36"/>
          <w:szCs w:val="36"/>
          <w:rtl/>
        </w:rPr>
        <w:t>ي نحو الكمال الانسان ّي، وأن هذا الكمال ترعاه أوربا، بغاية التقدم نحو صيرورة أفضل</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وقد شاع مفهوم التحضر هذا في الحضارة الغربية خلال النصف الثاني من القرن السابع عشر،</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وذلك عندما بدأ الفلاسفة آنئذ يتجادلون، حول الأهمية التي ينبغي إيلاؤها أو عدم إيلائها، لآراء القدماء</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وإنتاجهم العلم ّي والأدب ّي. فكرة (التقدم) إذاً هي تتويج لنسق من التفكير والممارسة الفلسفية الممتدة في</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الفكر الغرب ّي منذ عهود متقّدمة، مثّل</w:t>
      </w:r>
      <w:r w:rsidR="006D67FA">
        <w:rPr>
          <w:rStyle w:val="fontstyle01"/>
          <w:sz w:val="36"/>
          <w:szCs w:val="36"/>
          <w:rtl/>
        </w:rPr>
        <w:t>تها وعبّرت عنها مجموعة كبيرة من</w:t>
      </w:r>
      <w:r w:rsidR="006D67FA">
        <w:rPr>
          <w:rStyle w:val="fontstyle01"/>
          <w:rFonts w:hint="cs"/>
          <w:sz w:val="36"/>
          <w:szCs w:val="36"/>
          <w:rtl/>
        </w:rPr>
        <w:t xml:space="preserve"> </w:t>
      </w:r>
      <w:r w:rsidR="0014108E" w:rsidRPr="0014108E">
        <w:rPr>
          <w:rStyle w:val="fontstyle01"/>
          <w:sz w:val="36"/>
          <w:szCs w:val="36"/>
          <w:rtl/>
        </w:rPr>
        <w:t>التصورات والممارسات المتواشجة</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ببعضها البعض، وهي التي تش ّكل صميم (المركزية الغربية</w:t>
      </w:r>
      <w:r w:rsidR="006D67FA">
        <w:rPr>
          <w:rStyle w:val="fontstyle01"/>
          <w:rFonts w:hint="cs"/>
          <w:sz w:val="36"/>
          <w:szCs w:val="36"/>
          <w:rtl/>
        </w:rPr>
        <w:t>)</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sidR="006D67FA">
        <w:rPr>
          <w:rStyle w:val="fontstyle01"/>
          <w:rFonts w:hint="cs"/>
          <w:sz w:val="36"/>
          <w:szCs w:val="36"/>
          <w:rtl/>
        </w:rPr>
        <w:t xml:space="preserve">  </w:t>
      </w:r>
      <w:r w:rsidR="0014108E" w:rsidRPr="0014108E">
        <w:rPr>
          <w:rStyle w:val="fontstyle01"/>
          <w:sz w:val="36"/>
          <w:szCs w:val="36"/>
          <w:rtl/>
        </w:rPr>
        <w:t>وقد تتبّع محمد عابد الجابري النّسق الذي سارت فيه فلسفة التاريخ عند الغرب، واعتبر أن (هاردر</w:t>
      </w:r>
      <w:r w:rsidR="006D67FA">
        <w:rPr>
          <w:rStyle w:val="fontstyle01"/>
          <w:rFonts w:hint="cs"/>
          <w:sz w:val="36"/>
          <w:szCs w:val="36"/>
          <w:rtl/>
        </w:rPr>
        <w:t>)</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قد نادى صراحة "بأن الشعوب هي على الرغم من اختلاف الأجناس والأمم والعصور، أعضاء في مجموعة</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أكبر، فهي ليست سوى لحظات في تطور العنصر الانساني نحو هدفه الأعلى</w:t>
      </w:r>
      <w:r w:rsidR="006D67FA">
        <w:rPr>
          <w:rStyle w:val="fontstyle01"/>
          <w:rFonts w:hint="cs"/>
          <w:sz w:val="36"/>
          <w:szCs w:val="36"/>
          <w:rtl/>
        </w:rPr>
        <w:t>"</w:t>
      </w:r>
      <w:r w:rsidR="006D67FA">
        <w:rPr>
          <w:rStyle w:val="Appelnotedebasdep"/>
          <w:rFonts w:ascii="Traditional Arabic" w:hAnsi="Traditional Arabic" w:cs="Traditional Arabic"/>
          <w:color w:val="000000"/>
          <w:sz w:val="36"/>
          <w:szCs w:val="36"/>
          <w:rtl/>
        </w:rPr>
        <w:footnoteReference w:id="14"/>
      </w:r>
      <w:r w:rsidR="006D67FA">
        <w:rPr>
          <w:rStyle w:val="fontstyle01"/>
          <w:rFonts w:hint="cs"/>
          <w:sz w:val="36"/>
          <w:szCs w:val="36"/>
          <w:rtl/>
        </w:rPr>
        <w:t xml:space="preserve"> </w:t>
      </w:r>
      <w:r w:rsidR="0014108E" w:rsidRPr="0014108E">
        <w:rPr>
          <w:rStyle w:val="fontstyle01"/>
          <w:sz w:val="36"/>
          <w:szCs w:val="36"/>
          <w:rtl/>
        </w:rPr>
        <w:t>على أن أفكار هاردر</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المجّردة كانت تعني من قريب أو من بعيد حالة بلده (ألمانيا) المترِّّدية، والتي يرجو لها فلاسفتها: (هاردر</w:t>
      </w:r>
      <w:r w:rsidR="006D67FA">
        <w:rPr>
          <w:rStyle w:val="fontstyle01"/>
          <w:rFonts w:hint="cs"/>
          <w:sz w:val="36"/>
          <w:szCs w:val="36"/>
          <w:rtl/>
        </w:rPr>
        <w:t>)</w:t>
      </w:r>
      <w:r w:rsidR="006D67FA" w:rsidRPr="0014108E">
        <w:rPr>
          <w:rFonts w:ascii="Traditional Arabic" w:hAnsi="Traditional Arabic" w:cs="Traditional Arabic"/>
          <w:color w:val="000000"/>
          <w:sz w:val="36"/>
          <w:szCs w:val="36"/>
        </w:rPr>
        <w:t xml:space="preserve"> </w:t>
      </w:r>
      <w:r w:rsidR="0014108E" w:rsidRPr="0014108E">
        <w:rPr>
          <w:rStyle w:val="fontstyle01"/>
          <w:sz w:val="36"/>
          <w:szCs w:val="36"/>
          <w:rtl/>
        </w:rPr>
        <w:t>ومن بعده (هيجل) و(كانط،) نصيبا من (التقدم) كما كان عليه الحال في فرنسا وبريطانيا، مرتكزين على</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الفكرة التي تدور على قطبْين هما: (الوحد</w:t>
      </w:r>
      <w:r w:rsidR="006D67FA">
        <w:rPr>
          <w:rStyle w:val="fontstyle01"/>
          <w:sz w:val="36"/>
          <w:szCs w:val="36"/>
          <w:rtl/>
        </w:rPr>
        <w:t>ة والتقدم). فالتاريخ حسبكانط لا</w:t>
      </w:r>
      <w:r w:rsidR="006D67FA">
        <w:rPr>
          <w:rStyle w:val="fontstyle01"/>
          <w:rFonts w:hint="cs"/>
          <w:sz w:val="36"/>
          <w:szCs w:val="36"/>
          <w:rtl/>
        </w:rPr>
        <w:t xml:space="preserve"> </w:t>
      </w:r>
      <w:r w:rsidR="0014108E" w:rsidRPr="0014108E">
        <w:rPr>
          <w:rStyle w:val="fontstyle01"/>
          <w:sz w:val="36"/>
          <w:szCs w:val="36"/>
          <w:rtl/>
        </w:rPr>
        <w:lastRenderedPageBreak/>
        <w:t>معنى له إلا إذا نُظر إليه</w:t>
      </w:r>
      <w:r w:rsidR="006D67FA">
        <w:rPr>
          <w:rStyle w:val="fontstyle01"/>
          <w:rFonts w:hint="cs"/>
          <w:sz w:val="36"/>
          <w:szCs w:val="36"/>
          <w:rtl/>
        </w:rPr>
        <w:t xml:space="preserve"> </w:t>
      </w:r>
      <w:r w:rsidR="0014108E" w:rsidRPr="0014108E">
        <w:rPr>
          <w:rStyle w:val="fontstyle01"/>
          <w:sz w:val="36"/>
          <w:szCs w:val="36"/>
          <w:rtl/>
        </w:rPr>
        <w:t>كتقدم</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مستمر، لاسيما إذا تأملنا إل</w:t>
      </w:r>
      <w:r w:rsidR="006D67FA">
        <w:rPr>
          <w:rStyle w:val="fontstyle01"/>
          <w:sz w:val="36"/>
          <w:szCs w:val="36"/>
          <w:rtl/>
        </w:rPr>
        <w:t>ى أحداث النوع الانساني من زاوية</w:t>
      </w:r>
      <w:r w:rsidR="006D67FA">
        <w:rPr>
          <w:rStyle w:val="fontstyle01"/>
          <w:rFonts w:hint="cs"/>
          <w:sz w:val="36"/>
          <w:szCs w:val="36"/>
          <w:rtl/>
        </w:rPr>
        <w:t xml:space="preserve"> </w:t>
      </w:r>
      <w:r w:rsidR="0014108E" w:rsidRPr="0014108E">
        <w:rPr>
          <w:rStyle w:val="fontstyle01"/>
          <w:sz w:val="36"/>
          <w:szCs w:val="36"/>
          <w:rtl/>
        </w:rPr>
        <w:t>(الكل،) و ليس من زاوية أفراد منفصلين. "قد</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يكون الأفراد الذين يتحدث عنهم</w:t>
      </w:r>
      <w:r w:rsidR="006D67FA">
        <w:rPr>
          <w:rStyle w:val="fontstyle01"/>
          <w:rFonts w:hint="cs"/>
          <w:sz w:val="36"/>
          <w:szCs w:val="36"/>
          <w:rtl/>
        </w:rPr>
        <w:t xml:space="preserve"> </w:t>
      </w:r>
      <w:r w:rsidR="0014108E" w:rsidRPr="0014108E">
        <w:rPr>
          <w:rStyle w:val="fontstyle01"/>
          <w:sz w:val="36"/>
          <w:szCs w:val="36"/>
          <w:rtl/>
        </w:rPr>
        <w:t>كانط أفرادا بشريّين بالمعنى العادي للفرد، وقد يكون هؤلاء الأفراد هم الأ</w:t>
      </w:r>
      <w:r w:rsidR="006D67FA" w:rsidRPr="006D67FA">
        <w:rPr>
          <w:rStyle w:val="fontstyle01"/>
          <w:sz w:val="36"/>
          <w:szCs w:val="36"/>
          <w:rtl/>
        </w:rPr>
        <w:t xml:space="preserve"> </w:t>
      </w:r>
      <w:r w:rsidR="006D67FA" w:rsidRPr="0014108E">
        <w:rPr>
          <w:rStyle w:val="fontstyle01"/>
          <w:sz w:val="36"/>
          <w:szCs w:val="36"/>
          <w:rtl/>
        </w:rPr>
        <w:t>مم</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الأوربيّة بوصفها تشكل أعضاء في مجموعة واحدة</w:t>
      </w:r>
      <w:r w:rsidR="006D67FA">
        <w:rPr>
          <w:rStyle w:val="fontstyle01"/>
          <w:rFonts w:hint="cs"/>
          <w:sz w:val="36"/>
          <w:szCs w:val="36"/>
          <w:rtl/>
        </w:rPr>
        <w:t>"</w:t>
      </w:r>
      <w:r w:rsidR="006D67FA">
        <w:rPr>
          <w:rStyle w:val="Appelnotedebasdep"/>
          <w:rFonts w:ascii="Traditional Arabic" w:hAnsi="Traditional Arabic" w:cs="Traditional Arabic"/>
          <w:color w:val="000000"/>
          <w:sz w:val="36"/>
          <w:szCs w:val="36"/>
          <w:rtl/>
        </w:rPr>
        <w:footnoteReference w:id="15"/>
      </w:r>
      <w:r w:rsidR="0014108E" w:rsidRPr="0014108E">
        <w:rPr>
          <w:rFonts w:ascii="Traditional Arabic" w:hAnsi="Traditional Arabic" w:cs="Traditional Arabic"/>
          <w:color w:val="000000"/>
          <w:sz w:val="36"/>
          <w:szCs w:val="36"/>
        </w:rPr>
        <w:br/>
      </w:r>
      <w:r w:rsidR="006D67FA">
        <w:rPr>
          <w:rStyle w:val="fontstyle01"/>
          <w:rFonts w:hint="cs"/>
          <w:sz w:val="36"/>
          <w:szCs w:val="36"/>
          <w:rtl/>
        </w:rPr>
        <w:t xml:space="preserve">  </w:t>
      </w:r>
      <w:r w:rsidR="0014108E" w:rsidRPr="0014108E">
        <w:rPr>
          <w:rStyle w:val="fontstyle01"/>
          <w:sz w:val="36"/>
          <w:szCs w:val="36"/>
          <w:rtl/>
        </w:rPr>
        <w:t>لم تبق منظورات هاردر بعيدة عن الإغناء الفكري، فقد بلغت بعد ذلك أوجها مع (هيجل.) حيث</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 xml:space="preserve">انطلق من أطروحة فلسفية تقوم على فكرة الجدل، فهو يرى "أن تاريخ العالم بجميع مشاهده المتغيّرة التي </w:t>
      </w:r>
      <w:r w:rsidR="006D67FA">
        <w:rPr>
          <w:rStyle w:val="fontstyle01"/>
          <w:sz w:val="36"/>
          <w:szCs w:val="36"/>
          <w:rtl/>
        </w:rPr>
        <w:t>تس</w:t>
      </w:r>
      <w:r w:rsidR="0014108E" w:rsidRPr="0014108E">
        <w:rPr>
          <w:rStyle w:val="fontstyle01"/>
          <w:sz w:val="36"/>
          <w:szCs w:val="36"/>
          <w:rtl/>
        </w:rPr>
        <w:t>جلها حولياته، هو عملية تقدم الفكر وتميّزه. إن التاريخ في نظره عبارة عن كٍّّل يتحرك حركة تصاعدية</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نامية، والقوة المحّركة له هي الفكر[...] هناك منطق يحفظ للتاريخ وحدته ويضمن له تقّدمه</w:t>
      </w:r>
      <w:r w:rsidR="006D67FA">
        <w:rPr>
          <w:rStyle w:val="fontstyle21"/>
          <w:rFonts w:ascii="Traditional Arabic" w:hAnsi="Traditional Arabic" w:cs="Traditional Arabic" w:hint="cs"/>
          <w:sz w:val="36"/>
          <w:szCs w:val="36"/>
          <w:rtl/>
        </w:rPr>
        <w:t>"</w:t>
      </w:r>
      <w:r w:rsidR="006D67FA">
        <w:rPr>
          <w:rStyle w:val="Appelnotedebasdep"/>
          <w:rFonts w:ascii="Traditional Arabic" w:hAnsi="Traditional Arabic" w:cs="Traditional Arabic"/>
          <w:color w:val="000000"/>
          <w:sz w:val="36"/>
          <w:szCs w:val="36"/>
          <w:rtl/>
        </w:rPr>
        <w:footnoteReference w:id="16"/>
      </w:r>
      <w:r w:rsidR="0014108E" w:rsidRPr="0014108E">
        <w:rPr>
          <w:rFonts w:ascii="Traditional Arabic" w:hAnsi="Traditional Arabic" w:cs="Traditional Arabic"/>
          <w:color w:val="000000"/>
          <w:sz w:val="36"/>
          <w:szCs w:val="36"/>
        </w:rPr>
        <w:br/>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كما قامت الماركسية ورّوجت أكثر للتصور المادي للتاريخ في الفكر الغربي، "لأن المادية ا</w:t>
      </w:r>
      <w:r w:rsidR="006D67FA" w:rsidRPr="0014108E">
        <w:rPr>
          <w:rStyle w:val="fontstyle01"/>
          <w:sz w:val="36"/>
          <w:szCs w:val="36"/>
          <w:rtl/>
        </w:rPr>
        <w:t>لتاريخية</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لا تتناول الماضي وحسب، بل الحاضر والمستقبل كذلك، إنها نظرية في الممارسة الثورية بقدر ما هي نظرية</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ثورية في تفسير التاريخ</w:t>
      </w:r>
      <w:r w:rsidR="006D67FA">
        <w:rPr>
          <w:rStyle w:val="fontstyle01"/>
          <w:rFonts w:hint="cs"/>
          <w:sz w:val="36"/>
          <w:szCs w:val="36"/>
          <w:rtl/>
        </w:rPr>
        <w:t>"</w:t>
      </w:r>
      <w:r w:rsidR="006D67FA">
        <w:rPr>
          <w:rStyle w:val="Appelnotedebasdep"/>
          <w:rFonts w:ascii="Traditional Arabic" w:hAnsi="Traditional Arabic" w:cs="Traditional Arabic"/>
          <w:color w:val="000000"/>
          <w:sz w:val="36"/>
          <w:szCs w:val="36"/>
          <w:rtl/>
        </w:rPr>
        <w:footnoteReference w:id="17"/>
      </w:r>
      <w:r w:rsidR="006D67FA">
        <w:rPr>
          <w:rStyle w:val="fontstyle01"/>
          <w:rFonts w:hint="cs"/>
          <w:sz w:val="36"/>
          <w:szCs w:val="36"/>
          <w:rtl/>
        </w:rPr>
        <w:t xml:space="preserve"> </w:t>
      </w:r>
      <w:r w:rsidR="006D67FA" w:rsidRPr="0014108E">
        <w:rPr>
          <w:rStyle w:val="fontstyle01"/>
          <w:sz w:val="36"/>
          <w:szCs w:val="36"/>
          <w:rtl/>
        </w:rPr>
        <w:t>و</w:t>
      </w:r>
      <w:r w:rsidR="0014108E" w:rsidRPr="0014108E">
        <w:rPr>
          <w:rStyle w:val="fontstyle01"/>
          <w:sz w:val="36"/>
          <w:szCs w:val="36"/>
          <w:rtl/>
        </w:rPr>
        <w:t>انخرطت أوربا بمؤسساتها الثقافية في متطلبات نظرية (الوحدة والاستمرارية</w:t>
      </w:r>
      <w:r w:rsidR="006D67FA">
        <w:rPr>
          <w:rStyle w:val="fontstyle01"/>
          <w:rFonts w:hint="cs"/>
          <w:sz w:val="36"/>
          <w:szCs w:val="36"/>
          <w:rtl/>
        </w:rPr>
        <w:t>)</w:t>
      </w:r>
      <w:r w:rsidR="0014108E" w:rsidRPr="0014108E">
        <w:rPr>
          <w:rStyle w:val="fontstyle01"/>
          <w:sz w:val="36"/>
          <w:szCs w:val="36"/>
          <w:rtl/>
        </w:rPr>
        <w:t>،</w:t>
      </w:r>
      <w:r w:rsidR="006D67FA">
        <w:rPr>
          <w:rStyle w:val="fontstyle01"/>
          <w:rFonts w:hint="cs"/>
          <w:sz w:val="36"/>
          <w:szCs w:val="36"/>
          <w:rtl/>
        </w:rPr>
        <w:t xml:space="preserve"> </w:t>
      </w:r>
      <w:r w:rsidR="0014108E" w:rsidRPr="0014108E">
        <w:rPr>
          <w:rStyle w:val="fontstyle01"/>
          <w:sz w:val="36"/>
          <w:szCs w:val="36"/>
          <w:rtl/>
        </w:rPr>
        <w:t>متبنيّة المنهج التاريخي في تثبيت دعائم المركزية الأوربية</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sidR="006D67FA">
        <w:rPr>
          <w:rStyle w:val="fontstyle01"/>
          <w:rFonts w:hint="cs"/>
          <w:sz w:val="36"/>
          <w:szCs w:val="36"/>
          <w:rtl/>
        </w:rPr>
        <w:t xml:space="preserve">  </w:t>
      </w:r>
      <w:r w:rsidR="0014108E" w:rsidRPr="0014108E">
        <w:rPr>
          <w:rStyle w:val="fontstyle01"/>
          <w:sz w:val="36"/>
          <w:szCs w:val="36"/>
          <w:rtl/>
        </w:rPr>
        <w:t>صحيح أن مؤرخي الثقافية الأوربيةلم يكونوا على رؤية فلسفية واحدة، ولكن مع ذلك فإن "تنوع</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رؤاهم الفلسفيــة ومناهجهم واخــتلافها، لم يكن أبــدا خارج الإطار الــذي كانوا يتــحركون داخلـه، والذي كانوا</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يعملون جميعا على تقويته وتعزيزه، إطار المركزية الغربية الأوربية، وهكذا فإذا كان المنهج التاريخي الذي كان</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هدفه الأساسي هو بناء (الوحدة والاستمرارية) في تاريخ الفكر الأوربي عاّمة، صادرا في ذلك بصورة صريحة</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أو ضمنية عن فكرة (التقدم) التي بلغت أوّجها عند هيجل</w:t>
      </w:r>
      <w:r w:rsidR="0014108E" w:rsidRPr="0014108E">
        <w:rPr>
          <w:rStyle w:val="fontstyle01"/>
          <w:sz w:val="36"/>
          <w:szCs w:val="36"/>
        </w:rPr>
        <w:t xml:space="preserve">" </w:t>
      </w:r>
      <w:r w:rsidR="0014108E" w:rsidRPr="0014108E">
        <w:rPr>
          <w:rStyle w:val="fontstyle01"/>
          <w:sz w:val="36"/>
          <w:szCs w:val="36"/>
          <w:rtl/>
        </w:rPr>
        <w:t>،</w:t>
      </w:r>
      <w:r w:rsidR="0014108E" w:rsidRPr="0014108E">
        <w:rPr>
          <w:rStyle w:val="fontstyle01"/>
          <w:sz w:val="36"/>
          <w:szCs w:val="36"/>
        </w:rPr>
        <w:t>3</w:t>
      </w:r>
      <w:r w:rsidR="0014108E" w:rsidRPr="0014108E">
        <w:rPr>
          <w:rStyle w:val="fontstyle01"/>
          <w:sz w:val="36"/>
          <w:szCs w:val="36"/>
          <w:rtl/>
        </w:rPr>
        <w:t>فإن المؤرخين قدترجموا فعلا هذه الفكرة وبدأوا</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بالتأريخ لأوربا القديمة، فكرا وفلسفة وأدبا وفنا، وانتشر ذلك التأريخ خلال القرن التاسع عشر وبداية القرن</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العشرين، وهي الفترة التي نشطت فيها الحركة الاستشراقية</w:t>
      </w:r>
      <w:r w:rsidR="0014108E" w:rsidRPr="0014108E">
        <w:rPr>
          <w:rStyle w:val="fontstyle01"/>
          <w:sz w:val="36"/>
          <w:szCs w:val="36"/>
        </w:rPr>
        <w:t>.</w:t>
      </w:r>
      <w:r w:rsidR="0014108E" w:rsidRPr="0014108E">
        <w:rPr>
          <w:rFonts w:ascii="Traditional Arabic" w:hAnsi="Traditional Arabic" w:cs="Traditional Arabic"/>
          <w:color w:val="000000"/>
          <w:sz w:val="36"/>
          <w:szCs w:val="36"/>
        </w:rPr>
        <w:br/>
      </w:r>
      <w:r w:rsidR="006D67FA">
        <w:rPr>
          <w:rStyle w:val="fontstyle01"/>
          <w:rFonts w:hint="cs"/>
          <w:sz w:val="36"/>
          <w:szCs w:val="36"/>
          <w:rtl/>
        </w:rPr>
        <w:t xml:space="preserve">  </w:t>
      </w:r>
      <w:r w:rsidR="0014108E" w:rsidRPr="0014108E">
        <w:rPr>
          <w:rStyle w:val="fontstyle01"/>
          <w:sz w:val="36"/>
          <w:szCs w:val="36"/>
          <w:rtl/>
        </w:rPr>
        <w:t>بدا جليا إذاً، أن من أهم الموجهات الفكرية، التيكّرست منظور المركز والهامش في الفكر الأوربي،</w:t>
      </w:r>
      <w:r w:rsidR="0014108E" w:rsidRPr="0014108E">
        <w:rPr>
          <w:rFonts w:ascii="Traditional Arabic" w:hAnsi="Traditional Arabic" w:cs="Traditional Arabic"/>
          <w:color w:val="000000"/>
          <w:sz w:val="36"/>
          <w:szCs w:val="36"/>
        </w:rPr>
        <w:br/>
      </w:r>
      <w:r w:rsidR="0014108E" w:rsidRPr="0014108E">
        <w:rPr>
          <w:rStyle w:val="fontstyle01"/>
          <w:sz w:val="36"/>
          <w:szCs w:val="36"/>
          <w:rtl/>
        </w:rPr>
        <w:lastRenderedPageBreak/>
        <w:t>نظرية (الوحدة والاستمرارية) والمعبّرة ضمنيا عن فكرة التقدم، التي تمتد جذورها إلى القرن الثامن عشر</w:t>
      </w:r>
      <w:r w:rsidR="0014108E" w:rsidRPr="0014108E">
        <w:rPr>
          <w:rFonts w:ascii="Traditional Arabic" w:hAnsi="Traditional Arabic" w:cs="Traditional Arabic"/>
          <w:color w:val="000000"/>
          <w:sz w:val="36"/>
          <w:szCs w:val="36"/>
        </w:rPr>
        <w:br/>
      </w:r>
      <w:r w:rsidR="0014108E" w:rsidRPr="0014108E">
        <w:rPr>
          <w:rStyle w:val="fontstyle01"/>
          <w:sz w:val="36"/>
          <w:szCs w:val="36"/>
          <w:rtl/>
        </w:rPr>
        <w:t>والتاسع عشر، وهي النظرية التي شجعت على إعادة كتابة التاريخ الثقافي الأوربي بصورة تحقق له التقدم</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والاستمرارية من جهة وتجعل منه التاريخ (النموذجي) و(المثالي) للبشرية بشكل عام من جهة أخرى،</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فالتاريخ الأوربي وحده هو"التاريخ (العام) و(الرسمي) للفكر الانساني كله، أما ما عداه فهو هوامش إن</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حظيت ببعض الاعتراف فليس بوصفها عنصرا مقّوم</w:t>
      </w:r>
      <w:r w:rsidR="006D67FA">
        <w:rPr>
          <w:rStyle w:val="fontstyle01"/>
          <w:sz w:val="36"/>
          <w:szCs w:val="36"/>
          <w:rtl/>
        </w:rPr>
        <w:t>ا لهذا التاريخ العام، بل بوصفها</w:t>
      </w:r>
      <w:r w:rsidR="0014108E" w:rsidRPr="0014108E">
        <w:rPr>
          <w:rStyle w:val="fontstyle01"/>
          <w:sz w:val="36"/>
          <w:szCs w:val="36"/>
          <w:rtl/>
        </w:rPr>
        <w:t>(بِّركا) أشبه (بالبحر</w:t>
      </w:r>
      <w:r w:rsidR="006D67FA">
        <w:rPr>
          <w:rFonts w:ascii="Traditional Arabic" w:hAnsi="Traditional Arabic" w:cs="Traditional Arabic" w:hint="cs"/>
          <w:color w:val="000000"/>
          <w:sz w:val="36"/>
          <w:szCs w:val="36"/>
          <w:rtl/>
        </w:rPr>
        <w:t xml:space="preserve"> </w:t>
      </w:r>
      <w:r w:rsidR="0014108E" w:rsidRPr="0014108E">
        <w:rPr>
          <w:rStyle w:val="fontstyle01"/>
          <w:sz w:val="36"/>
          <w:szCs w:val="36"/>
          <w:rtl/>
        </w:rPr>
        <w:t>الميت) معزولة عن النهر الخالد المتدفق من بلاد اليونان</w:t>
      </w:r>
      <w:r w:rsidR="006D67FA">
        <w:rPr>
          <w:rStyle w:val="fontstyle01"/>
          <w:rFonts w:hint="cs"/>
          <w:sz w:val="36"/>
          <w:szCs w:val="36"/>
          <w:rtl/>
        </w:rPr>
        <w:t>"</w:t>
      </w:r>
      <w:r w:rsidR="006D67FA">
        <w:rPr>
          <w:rStyle w:val="Appelnotedebasdep"/>
          <w:rFonts w:ascii="Traditional Arabic" w:hAnsi="Traditional Arabic" w:cs="Traditional Arabic"/>
          <w:color w:val="000000"/>
          <w:sz w:val="36"/>
          <w:szCs w:val="36"/>
          <w:rtl/>
        </w:rPr>
        <w:footnoteReference w:id="18"/>
      </w:r>
      <w:r w:rsidR="0014108E" w:rsidRPr="0014108E">
        <w:rPr>
          <w:rStyle w:val="fontstyle01"/>
          <w:sz w:val="36"/>
          <w:szCs w:val="36"/>
          <w:rtl/>
        </w:rPr>
        <w:t xml:space="preserve"> </w:t>
      </w:r>
    </w:p>
    <w:p w:rsidR="0014108E" w:rsidRPr="0014108E" w:rsidRDefault="006D67FA" w:rsidP="006D67FA">
      <w:pPr>
        <w:bidi/>
        <w:rPr>
          <w:rFonts w:ascii="Traditional Arabic" w:hAnsi="Traditional Arabic" w:cs="Traditional Arabic"/>
          <w:b/>
          <w:bCs/>
          <w:color w:val="76923C" w:themeColor="accent3" w:themeShade="BF"/>
          <w:sz w:val="36"/>
          <w:szCs w:val="36"/>
          <w:rtl/>
          <w:lang w:bidi="ar-DZ"/>
        </w:rPr>
      </w:pPr>
      <w:r>
        <w:rPr>
          <w:rStyle w:val="fontstyle01"/>
          <w:rFonts w:hint="cs"/>
          <w:sz w:val="36"/>
          <w:szCs w:val="36"/>
          <w:rtl/>
        </w:rPr>
        <w:t xml:space="preserve">  </w:t>
      </w:r>
      <w:r w:rsidR="0014108E" w:rsidRPr="0014108E">
        <w:rPr>
          <w:rStyle w:val="fontstyle01"/>
          <w:sz w:val="36"/>
          <w:szCs w:val="36"/>
          <w:rtl/>
        </w:rPr>
        <w:t>انطلاقا من هذا الموّجه الفكري سيدرس الغرب عموما، والمستشرقون خصوصا، الأدب العربي</w:t>
      </w:r>
      <w:r w:rsidR="0014108E" w:rsidRPr="0014108E">
        <w:rPr>
          <w:rFonts w:ascii="Traditional Arabic" w:hAnsi="Traditional Arabic" w:cs="Traditional Arabic"/>
          <w:color w:val="000000"/>
          <w:sz w:val="36"/>
          <w:szCs w:val="36"/>
        </w:rPr>
        <w:br/>
      </w:r>
      <w:r w:rsidR="0014108E" w:rsidRPr="0014108E">
        <w:rPr>
          <w:rStyle w:val="fontstyle01"/>
          <w:sz w:val="36"/>
          <w:szCs w:val="36"/>
        </w:rPr>
        <w:t>"</w:t>
      </w:r>
      <w:r w:rsidR="0014108E" w:rsidRPr="0014108E">
        <w:rPr>
          <w:rStyle w:val="fontstyle01"/>
          <w:sz w:val="36"/>
          <w:szCs w:val="36"/>
          <w:rtl/>
        </w:rPr>
        <w:t>وسيقرأ الفكر الأوربي ذلك التراكم الأدبي من المنظور الذي نظم به عالمه المعرفي وفقا لتوقعاته وانتظاراته</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منه، حتى يضمن التحكم في مظان</w:t>
      </w:r>
      <w:r>
        <w:rPr>
          <w:rStyle w:val="fontstyle01"/>
          <w:rFonts w:hint="cs"/>
          <w:sz w:val="36"/>
          <w:szCs w:val="36"/>
          <w:rtl/>
        </w:rPr>
        <w:t xml:space="preserve"> </w:t>
      </w:r>
      <w:r w:rsidR="0014108E" w:rsidRPr="0014108E">
        <w:rPr>
          <w:rStyle w:val="fontstyle01"/>
          <w:sz w:val="36"/>
          <w:szCs w:val="36"/>
          <w:rtl/>
        </w:rPr>
        <w:t>كينونته وينفذ إليها أكثر، يُبرز فيها ما يشاء ويختزل ما يشاء، يتصّرف في</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كل ذلك بأدواته الإجرائية والمفهومية والمنهجية والنظرية والعلمية، التي توافرت لديه بشكل متقدم خلال</w:t>
      </w:r>
      <w:r>
        <w:rPr>
          <w:rFonts w:ascii="Traditional Arabic" w:hAnsi="Traditional Arabic" w:cs="Traditional Arabic" w:hint="cs"/>
          <w:color w:val="000000"/>
          <w:sz w:val="36"/>
          <w:szCs w:val="36"/>
          <w:rtl/>
        </w:rPr>
        <w:t xml:space="preserve"> </w:t>
      </w:r>
      <w:r w:rsidR="0014108E" w:rsidRPr="0014108E">
        <w:rPr>
          <w:rStyle w:val="fontstyle01"/>
          <w:sz w:val="36"/>
          <w:szCs w:val="36"/>
          <w:rtl/>
        </w:rPr>
        <w:t>القرن التاسع عشر</w:t>
      </w:r>
      <w:r w:rsidR="0014108E" w:rsidRPr="0014108E">
        <w:rPr>
          <w:rStyle w:val="fontstyle01"/>
          <w:sz w:val="36"/>
          <w:szCs w:val="36"/>
        </w:rPr>
        <w:t>".</w:t>
      </w:r>
      <w:r>
        <w:rPr>
          <w:rStyle w:val="Appelnotedebasdep"/>
          <w:rFonts w:ascii="Traditional Arabic" w:hAnsi="Traditional Arabic" w:cs="Traditional Arabic"/>
          <w:color w:val="000000"/>
          <w:sz w:val="36"/>
          <w:szCs w:val="36"/>
        </w:rPr>
        <w:footnoteReference w:id="19"/>
      </w:r>
    </w:p>
    <w:p w:rsidR="00251ADE" w:rsidRPr="0014108E" w:rsidRDefault="00251ADE" w:rsidP="00251ADE">
      <w:pPr>
        <w:bidi/>
        <w:rPr>
          <w:rFonts w:ascii="Traditional Arabic" w:hAnsi="Traditional Arabic" w:cs="Traditional Arabic"/>
          <w:sz w:val="36"/>
          <w:szCs w:val="36"/>
          <w:lang w:bidi="ar-DZ"/>
        </w:rPr>
      </w:pPr>
    </w:p>
    <w:sectPr w:rsidR="00251ADE" w:rsidRPr="0014108E" w:rsidSect="00C52DAD">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43C4" w:rsidRDefault="00BF43C4" w:rsidP="00E913D2">
      <w:pPr>
        <w:spacing w:after="0"/>
      </w:pPr>
      <w:r>
        <w:separator/>
      </w:r>
    </w:p>
  </w:endnote>
  <w:endnote w:type="continuationSeparator" w:id="1">
    <w:p w:rsidR="00BF43C4" w:rsidRDefault="00BF43C4" w:rsidP="00E913D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316680"/>
      <w:docPartObj>
        <w:docPartGallery w:val="Page Numbers (Bottom of Page)"/>
        <w:docPartUnique/>
      </w:docPartObj>
    </w:sdtPr>
    <w:sdtContent>
      <w:p w:rsidR="00AD5B40" w:rsidRDefault="00876C20">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2049">
                <w:txbxContent>
                  <w:p w:rsidR="00AD5B40" w:rsidRDefault="00876C20">
                    <w:pPr>
                      <w:jc w:val="center"/>
                    </w:pPr>
                    <w:fldSimple w:instr=" PAGE    \* MERGEFORMAT ">
                      <w:r w:rsidR="00C52DAD" w:rsidRPr="00C52DAD">
                        <w:rPr>
                          <w:noProof/>
                          <w:sz w:val="16"/>
                          <w:szCs w:val="16"/>
                        </w:rPr>
                        <w:t>8</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43C4" w:rsidRDefault="00BF43C4" w:rsidP="00E913D2">
      <w:pPr>
        <w:bidi/>
        <w:spacing w:after="0"/>
      </w:pPr>
      <w:r>
        <w:separator/>
      </w:r>
    </w:p>
  </w:footnote>
  <w:footnote w:type="continuationSeparator" w:id="1">
    <w:p w:rsidR="00BF43C4" w:rsidRDefault="00BF43C4" w:rsidP="00E913D2">
      <w:pPr>
        <w:spacing w:after="0"/>
      </w:pPr>
      <w:r>
        <w:continuationSeparator/>
      </w:r>
    </w:p>
  </w:footnote>
  <w:footnote w:id="2">
    <w:p w:rsidR="00E913D2" w:rsidRPr="00F43B4F" w:rsidRDefault="00E913D2" w:rsidP="003C77D9">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003C77D9" w:rsidRPr="00F43B4F">
        <w:rPr>
          <w:rFonts w:ascii="Traditional Arabic" w:hAnsi="Traditional Arabic" w:cs="Traditional Arabic"/>
          <w:sz w:val="32"/>
          <w:szCs w:val="32"/>
          <w:rtl/>
        </w:rPr>
        <w:t xml:space="preserve">- </w:t>
      </w:r>
      <w:r w:rsidRPr="00F43B4F">
        <w:rPr>
          <w:rFonts w:ascii="Traditional Arabic" w:hAnsi="Traditional Arabic" w:cs="Traditional Arabic"/>
          <w:sz w:val="32"/>
          <w:szCs w:val="32"/>
        </w:rPr>
        <w:t xml:space="preserve"> </w:t>
      </w:r>
      <w:r w:rsidR="003C77D9" w:rsidRPr="00F43B4F">
        <w:rPr>
          <w:rFonts w:ascii="Traditional Arabic" w:hAnsi="Traditional Arabic" w:cs="Traditional Arabic"/>
          <w:color w:val="000000"/>
          <w:sz w:val="32"/>
          <w:szCs w:val="32"/>
          <w:rtl/>
        </w:rPr>
        <w:t xml:space="preserve">حبيب بوزوادة:القراءة الاستشراقية للموروث الأدبي بين الموضوعية والإجحاف، مجلة جذور، يونيه 2014م،ع </w:t>
      </w:r>
      <w:r w:rsidR="003C77D9" w:rsidRPr="00F43B4F">
        <w:rPr>
          <w:rFonts w:ascii="Traditional Arabic" w:hAnsi="Traditional Arabic" w:cs="Traditional Arabic"/>
          <w:color w:val="000000"/>
          <w:sz w:val="32"/>
          <w:szCs w:val="32"/>
        </w:rPr>
        <w:t>73</w:t>
      </w:r>
      <w:r w:rsidR="003C77D9" w:rsidRPr="00F43B4F">
        <w:rPr>
          <w:rFonts w:ascii="Traditional Arabic" w:hAnsi="Traditional Arabic" w:cs="Traditional Arabic"/>
          <w:color w:val="000000"/>
          <w:sz w:val="32"/>
          <w:szCs w:val="32"/>
          <w:rtl/>
        </w:rPr>
        <w:t>ص 290-291.</w:t>
      </w:r>
      <w:r w:rsidR="003C77D9" w:rsidRPr="00F43B4F">
        <w:rPr>
          <w:rFonts w:ascii="Traditional Arabic" w:hAnsi="Traditional Arabic" w:cs="Traditional Arabic"/>
          <w:color w:val="000000"/>
          <w:sz w:val="32"/>
          <w:szCs w:val="32"/>
        </w:rPr>
        <w:t xml:space="preserve"> </w:t>
      </w:r>
      <w:r w:rsidR="003C77D9" w:rsidRPr="00F43B4F">
        <w:rPr>
          <w:rFonts w:ascii="Traditional Arabic" w:hAnsi="Traditional Arabic" w:cs="Traditional Arabic"/>
          <w:color w:val="000000"/>
          <w:sz w:val="32"/>
          <w:szCs w:val="32"/>
          <w:rtl/>
        </w:rPr>
        <w:t>،</w:t>
      </w:r>
    </w:p>
  </w:footnote>
  <w:footnote w:id="3">
    <w:p w:rsidR="00BD0F2E" w:rsidRPr="00F43B4F" w:rsidRDefault="00BD0F2E"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Pr>
        <w:t xml:space="preserve"> </w:t>
      </w:r>
      <w:r w:rsidRPr="00F43B4F">
        <w:rPr>
          <w:rFonts w:ascii="Traditional Arabic" w:hAnsi="Traditional Arabic" w:cs="Traditional Arabic"/>
          <w:sz w:val="32"/>
          <w:szCs w:val="32"/>
          <w:rtl/>
          <w:lang w:bidi="ar-DZ"/>
        </w:rPr>
        <w:t xml:space="preserve">- </w:t>
      </w:r>
      <w:r w:rsidR="003C77D9" w:rsidRPr="00F43B4F">
        <w:rPr>
          <w:rFonts w:ascii="Traditional Arabic" w:hAnsi="Traditional Arabic" w:cs="Traditional Arabic"/>
          <w:color w:val="000000"/>
          <w:sz w:val="32"/>
          <w:szCs w:val="32"/>
          <w:rtl/>
        </w:rPr>
        <w:t xml:space="preserve">حّمد الكتاني، مطارحات منهجية حول الأدب والنقد وعلاقتها بالعلوم الاسلامية، دار الثقافة، الدارالبيضاء، </w:t>
      </w:r>
      <w:r w:rsidR="00CB12F2" w:rsidRPr="00F43B4F">
        <w:rPr>
          <w:rFonts w:ascii="Traditional Arabic" w:hAnsi="Traditional Arabic" w:cs="Traditional Arabic"/>
          <w:color w:val="000000"/>
          <w:sz w:val="32"/>
          <w:szCs w:val="32"/>
          <w:rtl/>
        </w:rPr>
        <w:t>2009</w:t>
      </w:r>
      <w:r w:rsidR="003C77D9" w:rsidRPr="00F43B4F">
        <w:rPr>
          <w:rFonts w:ascii="Traditional Arabic" w:hAnsi="Traditional Arabic" w:cs="Traditional Arabic"/>
          <w:color w:val="000000"/>
          <w:sz w:val="32"/>
          <w:szCs w:val="32"/>
          <w:rtl/>
        </w:rPr>
        <w:t>ص</w:t>
      </w:r>
      <w:r w:rsidR="003C77D9" w:rsidRPr="00F43B4F">
        <w:rPr>
          <w:rFonts w:ascii="Traditional Arabic" w:hAnsi="Traditional Arabic" w:cs="Traditional Arabic"/>
          <w:color w:val="000000"/>
          <w:sz w:val="32"/>
          <w:szCs w:val="32"/>
        </w:rPr>
        <w:t xml:space="preserve"> .</w:t>
      </w:r>
      <w:r w:rsidR="00CB12F2" w:rsidRPr="00F43B4F">
        <w:rPr>
          <w:rFonts w:ascii="Traditional Arabic" w:hAnsi="Traditional Arabic" w:cs="Traditional Arabic"/>
          <w:color w:val="000000"/>
          <w:sz w:val="32"/>
          <w:szCs w:val="32"/>
          <w:rtl/>
        </w:rPr>
        <w:t xml:space="preserve">238 </w:t>
      </w:r>
    </w:p>
  </w:footnote>
  <w:footnote w:id="4">
    <w:p w:rsidR="00BD0F2E" w:rsidRPr="00F43B4F" w:rsidRDefault="00BD0F2E"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Pr>
        <w:t xml:space="preserve"> </w:t>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color w:val="000000"/>
          <w:sz w:val="32"/>
          <w:szCs w:val="32"/>
          <w:rtl/>
        </w:rPr>
        <w:t>عبد الله إبراهيم، الثقافة العربية والمرجعيات المستعارة، المؤسسة العربية للدراسات والنشر، ط 1، 2004، ص 215.</w:t>
      </w:r>
    </w:p>
  </w:footnote>
  <w:footnote w:id="5">
    <w:p w:rsidR="00BD0F2E" w:rsidRPr="00F43B4F" w:rsidRDefault="00BD0F2E"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Pr>
        <w:t xml:space="preserve"> </w:t>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sz w:val="32"/>
          <w:szCs w:val="32"/>
          <w:rtl/>
          <w:lang w:bidi="ar-DZ"/>
        </w:rPr>
        <w:t>عبد</w:t>
      </w:r>
      <w:r w:rsidR="00CB12F2" w:rsidRPr="00F43B4F">
        <w:rPr>
          <w:rFonts w:ascii="Traditional Arabic" w:hAnsi="Traditional Arabic" w:cs="Traditional Arabic"/>
          <w:color w:val="000000"/>
          <w:sz w:val="32"/>
          <w:szCs w:val="32"/>
          <w:rtl/>
        </w:rPr>
        <w:t xml:space="preserve"> السلام المسدي، في آليات النقد الأدبي، دار الجنوب للنشر، تونس 1994، ص 85.</w:t>
      </w:r>
    </w:p>
  </w:footnote>
  <w:footnote w:id="6">
    <w:p w:rsidR="00E966AF" w:rsidRPr="00F43B4F" w:rsidRDefault="00E966AF" w:rsidP="00E966AF">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Pr>
        <w:t xml:space="preserve"> </w:t>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sz w:val="32"/>
          <w:szCs w:val="32"/>
          <w:rtl/>
          <w:lang w:bidi="ar-DZ"/>
        </w:rPr>
        <w:t>المرجع نفسه، ص 86.</w:t>
      </w:r>
    </w:p>
  </w:footnote>
  <w:footnote w:id="7">
    <w:p w:rsidR="00E966AF" w:rsidRPr="00F43B4F" w:rsidRDefault="00E966AF" w:rsidP="00E966AF">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Pr>
        <w:t xml:space="preserve"> </w:t>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color w:val="000000"/>
          <w:sz w:val="32"/>
          <w:szCs w:val="32"/>
          <w:rtl/>
        </w:rPr>
        <w:t>عبد الله إبراهيم، الثقافة العربية والمرجعيات المستعارة، ص 233-234.</w:t>
      </w:r>
    </w:p>
  </w:footnote>
  <w:footnote w:id="8">
    <w:p w:rsidR="00E966AF" w:rsidRPr="00F43B4F" w:rsidRDefault="00E966AF"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color w:val="000000"/>
          <w:sz w:val="32"/>
          <w:szCs w:val="32"/>
          <w:rtl/>
        </w:rPr>
        <w:t>حمد عابد الجابري، التراث والحداثة، مركز دراسات الوحدة العربية، بيروت، ط2، 1999، ص 26-27.</w:t>
      </w:r>
    </w:p>
  </w:footnote>
  <w:footnote w:id="9">
    <w:p w:rsidR="00E966AF" w:rsidRPr="00F43B4F" w:rsidRDefault="00E966AF"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color w:val="000000"/>
          <w:sz w:val="32"/>
          <w:szCs w:val="32"/>
          <w:rtl/>
        </w:rPr>
        <w:t>عبد الله إبراهيم، المركزية الغربية، إشكالية التكّون والتمركز حول الذات، المركز الثقافي العربي، بيروت، ط1، 1997، ص 37.</w:t>
      </w:r>
    </w:p>
  </w:footnote>
  <w:footnote w:id="10">
    <w:p w:rsidR="00E966AF" w:rsidRPr="00F43B4F" w:rsidRDefault="00E966AF"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Pr>
        <w:t xml:space="preserve"> </w:t>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color w:val="000000"/>
          <w:sz w:val="32"/>
          <w:szCs w:val="32"/>
          <w:rtl/>
        </w:rPr>
        <w:t xml:space="preserve">عبد الله العروي، مفهوم التاريخ، المركز الثقافي العربي، بيروت، ط 5، 2005، </w:t>
      </w:r>
      <w:r w:rsidR="00CB12F2" w:rsidRPr="00F43B4F">
        <w:rPr>
          <w:rFonts w:ascii="Traditional Arabic" w:hAnsi="Traditional Arabic" w:cs="Traditional Arabic"/>
          <w:color w:val="000000"/>
          <w:sz w:val="32"/>
          <w:szCs w:val="32"/>
        </w:rPr>
        <w:t xml:space="preserve"> </w:t>
      </w:r>
      <w:r w:rsidR="00CB12F2" w:rsidRPr="00F43B4F">
        <w:rPr>
          <w:rFonts w:ascii="Traditional Arabic" w:hAnsi="Traditional Arabic" w:cs="Traditional Arabic"/>
          <w:color w:val="000000"/>
          <w:sz w:val="32"/>
          <w:szCs w:val="32"/>
          <w:rtl/>
        </w:rPr>
        <w:t>ص 374.</w:t>
      </w:r>
      <w:r w:rsidR="00CB12F2" w:rsidRPr="00F43B4F">
        <w:rPr>
          <w:rFonts w:ascii="Traditional Arabic" w:hAnsi="Traditional Arabic" w:cs="Traditional Arabic"/>
          <w:color w:val="000000"/>
          <w:sz w:val="32"/>
          <w:szCs w:val="32"/>
        </w:rPr>
        <w:t>.</w:t>
      </w:r>
    </w:p>
  </w:footnote>
  <w:footnote w:id="11">
    <w:p w:rsidR="00E966AF" w:rsidRPr="00F43B4F" w:rsidRDefault="00E966AF"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color w:val="000000"/>
          <w:sz w:val="32"/>
          <w:szCs w:val="32"/>
          <w:rtl/>
        </w:rPr>
        <w:t>سالم يفوت، حفريات الاستشراق، في نقد العقل الاستشراقي، المركز الثقافي العربي، بيروت، ط 1، 1989، ص 24.</w:t>
      </w:r>
    </w:p>
  </w:footnote>
  <w:footnote w:id="12">
    <w:p w:rsidR="005831EC" w:rsidRPr="00F43B4F" w:rsidRDefault="005831EC" w:rsidP="005831EC">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tl/>
          <w:lang w:bidi="ar-DZ"/>
        </w:rPr>
        <w:t>-</w:t>
      </w:r>
      <w:r w:rsidR="00CB12F2" w:rsidRPr="00F43B4F">
        <w:rPr>
          <w:rFonts w:ascii="Traditional Arabic" w:hAnsi="Traditional Arabic" w:cs="Traditional Arabic"/>
          <w:color w:val="000000"/>
          <w:sz w:val="32"/>
          <w:szCs w:val="32"/>
          <w:rtl/>
        </w:rPr>
        <w:t xml:space="preserve"> عبد الله إبراهيم، المركزية الغربية، ص 37.</w:t>
      </w:r>
    </w:p>
  </w:footnote>
  <w:footnote w:id="13">
    <w:p w:rsidR="006D67FA" w:rsidRPr="00F43B4F" w:rsidRDefault="006D67FA"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Pr>
        <w:t xml:space="preserve"> </w:t>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color w:val="000000"/>
          <w:sz w:val="32"/>
          <w:szCs w:val="32"/>
          <w:rtl/>
        </w:rPr>
        <w:t>عبد الله إبراهيم، المركزية الغربية ، ص 37.</w:t>
      </w:r>
    </w:p>
  </w:footnote>
  <w:footnote w:id="14">
    <w:p w:rsidR="006D67FA" w:rsidRPr="00F43B4F" w:rsidRDefault="006D67FA" w:rsidP="006D67FA">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Pr>
        <w:t xml:space="preserve"> </w:t>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color w:val="000000"/>
          <w:sz w:val="32"/>
          <w:szCs w:val="32"/>
          <w:rtl/>
        </w:rPr>
        <w:t>محمد عابد الجابري، التراث والحداثة، ص 97-98.</w:t>
      </w:r>
    </w:p>
  </w:footnote>
  <w:footnote w:id="15">
    <w:p w:rsidR="006D67FA" w:rsidRPr="00F43B4F" w:rsidRDefault="006D67FA"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Pr>
        <w:t xml:space="preserve"> </w:t>
      </w:r>
      <w:r w:rsidRPr="00F43B4F">
        <w:rPr>
          <w:rFonts w:ascii="Traditional Arabic" w:hAnsi="Traditional Arabic" w:cs="Traditional Arabic"/>
          <w:sz w:val="32"/>
          <w:szCs w:val="32"/>
          <w:rtl/>
          <w:lang w:bidi="ar-DZ"/>
        </w:rPr>
        <w:t xml:space="preserve">- </w:t>
      </w:r>
      <w:r w:rsidR="00CB12F2" w:rsidRPr="00F43B4F">
        <w:rPr>
          <w:rFonts w:ascii="Traditional Arabic" w:hAnsi="Traditional Arabic" w:cs="Traditional Arabic"/>
          <w:color w:val="000000"/>
          <w:sz w:val="32"/>
          <w:szCs w:val="32"/>
          <w:rtl/>
        </w:rPr>
        <w:t>المرجع نفسه، ص</w:t>
      </w:r>
      <w:r w:rsidR="00CB12F2" w:rsidRPr="00F43B4F">
        <w:rPr>
          <w:rFonts w:ascii="Traditional Arabic" w:hAnsi="Traditional Arabic" w:cs="Traditional Arabic"/>
          <w:color w:val="000000"/>
          <w:sz w:val="32"/>
          <w:szCs w:val="32"/>
        </w:rPr>
        <w:t xml:space="preserve"> .</w:t>
      </w:r>
      <w:r w:rsidR="00CB12F2" w:rsidRPr="00F43B4F">
        <w:rPr>
          <w:rFonts w:ascii="Traditional Arabic" w:hAnsi="Traditional Arabic" w:cs="Traditional Arabic"/>
          <w:color w:val="000000"/>
          <w:sz w:val="32"/>
          <w:szCs w:val="32"/>
          <w:rtl/>
        </w:rPr>
        <w:t>98.</w:t>
      </w:r>
    </w:p>
  </w:footnote>
  <w:footnote w:id="16">
    <w:p w:rsidR="006D67FA" w:rsidRPr="00F43B4F" w:rsidRDefault="00F43B4F" w:rsidP="00F43B4F">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006D67FA" w:rsidRPr="00F43B4F">
        <w:rPr>
          <w:rFonts w:ascii="Traditional Arabic" w:hAnsi="Traditional Arabic" w:cs="Traditional Arabic"/>
          <w:sz w:val="32"/>
          <w:szCs w:val="32"/>
          <w:rtl/>
          <w:lang w:bidi="ar-DZ"/>
        </w:rPr>
        <w:t xml:space="preserve">- </w:t>
      </w:r>
      <w:r w:rsidRPr="00F43B4F">
        <w:rPr>
          <w:rFonts w:ascii="Traditional Arabic" w:hAnsi="Traditional Arabic" w:cs="Traditional Arabic"/>
          <w:color w:val="000000"/>
          <w:sz w:val="32"/>
          <w:szCs w:val="32"/>
          <w:rtl/>
        </w:rPr>
        <w:t>محمد عابد الجابري، التراث والحداثة، ص 98.</w:t>
      </w:r>
    </w:p>
  </w:footnote>
  <w:footnote w:id="17">
    <w:p w:rsidR="006D67FA" w:rsidRPr="00F43B4F" w:rsidRDefault="006D67FA" w:rsidP="00CB12F2">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00CB12F2" w:rsidRPr="00F43B4F">
        <w:rPr>
          <w:rFonts w:ascii="Traditional Arabic" w:hAnsi="Traditional Arabic" w:cs="Traditional Arabic"/>
          <w:sz w:val="32"/>
          <w:szCs w:val="32"/>
          <w:rtl/>
        </w:rPr>
        <w:t xml:space="preserve">- </w:t>
      </w:r>
      <w:r w:rsidRPr="00F43B4F">
        <w:rPr>
          <w:rFonts w:ascii="Traditional Arabic" w:hAnsi="Traditional Arabic" w:cs="Traditional Arabic"/>
          <w:sz w:val="32"/>
          <w:szCs w:val="32"/>
        </w:rPr>
        <w:t xml:space="preserve"> </w:t>
      </w:r>
      <w:r w:rsidR="00CB12F2" w:rsidRPr="00F43B4F">
        <w:rPr>
          <w:rFonts w:ascii="Traditional Arabic" w:hAnsi="Traditional Arabic" w:cs="Traditional Arabic"/>
          <w:color w:val="000000"/>
          <w:sz w:val="32"/>
          <w:szCs w:val="32"/>
          <w:rtl/>
        </w:rPr>
        <w:t>المرجع نفسه، ص100</w:t>
      </w:r>
    </w:p>
  </w:footnote>
  <w:footnote w:id="18">
    <w:p w:rsidR="006D67FA" w:rsidRPr="00F43B4F" w:rsidRDefault="006D67FA" w:rsidP="006D67FA">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tl/>
          <w:lang w:bidi="ar-DZ"/>
        </w:rPr>
        <w:t xml:space="preserve">- </w:t>
      </w:r>
      <w:r w:rsidR="00F43B4F" w:rsidRPr="00F43B4F">
        <w:rPr>
          <w:rFonts w:ascii="Traditional Arabic" w:hAnsi="Traditional Arabic" w:cs="Traditional Arabic"/>
          <w:color w:val="000000"/>
          <w:sz w:val="32"/>
          <w:szCs w:val="32"/>
          <w:rtl/>
        </w:rPr>
        <w:t>المرجع نفسه، ص 76-77.</w:t>
      </w:r>
    </w:p>
  </w:footnote>
  <w:footnote w:id="19">
    <w:p w:rsidR="006D67FA" w:rsidRPr="00F43B4F" w:rsidRDefault="006D67FA" w:rsidP="006D67FA">
      <w:pPr>
        <w:pStyle w:val="Notedebasdepage"/>
        <w:bidi/>
        <w:rPr>
          <w:rFonts w:ascii="Traditional Arabic" w:hAnsi="Traditional Arabic" w:cs="Traditional Arabic"/>
          <w:sz w:val="32"/>
          <w:szCs w:val="32"/>
          <w:rtl/>
          <w:lang w:bidi="ar-DZ"/>
        </w:rPr>
      </w:pPr>
      <w:r w:rsidRPr="00F43B4F">
        <w:rPr>
          <w:rStyle w:val="Appelnotedebasdep"/>
          <w:rFonts w:ascii="Traditional Arabic" w:hAnsi="Traditional Arabic" w:cs="Traditional Arabic"/>
          <w:sz w:val="32"/>
          <w:szCs w:val="32"/>
        </w:rPr>
        <w:footnoteRef/>
      </w:r>
      <w:r w:rsidRPr="00F43B4F">
        <w:rPr>
          <w:rFonts w:ascii="Traditional Arabic" w:hAnsi="Traditional Arabic" w:cs="Traditional Arabic"/>
          <w:sz w:val="32"/>
          <w:szCs w:val="32"/>
          <w:rtl/>
          <w:lang w:bidi="ar-DZ"/>
        </w:rPr>
        <w:t xml:space="preserve">- </w:t>
      </w:r>
      <w:r w:rsidR="00F43B4F" w:rsidRPr="00F43B4F">
        <w:rPr>
          <w:rFonts w:ascii="Traditional Arabic" w:hAnsi="Traditional Arabic" w:cs="Traditional Arabic"/>
          <w:sz w:val="32"/>
          <w:szCs w:val="32"/>
          <w:rtl/>
          <w:lang w:bidi="ar-DZ"/>
        </w:rPr>
        <w:t>المرجع نفسه، ص 27.</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251ADE"/>
    <w:rsid w:val="0014108E"/>
    <w:rsid w:val="00176124"/>
    <w:rsid w:val="00251ADE"/>
    <w:rsid w:val="002E6F00"/>
    <w:rsid w:val="00342754"/>
    <w:rsid w:val="003C77D9"/>
    <w:rsid w:val="005831EC"/>
    <w:rsid w:val="006D67FA"/>
    <w:rsid w:val="00876C20"/>
    <w:rsid w:val="00900EB0"/>
    <w:rsid w:val="009507A8"/>
    <w:rsid w:val="00AD5B40"/>
    <w:rsid w:val="00BD0F2E"/>
    <w:rsid w:val="00BF43C4"/>
    <w:rsid w:val="00C52DAD"/>
    <w:rsid w:val="00CB12F2"/>
    <w:rsid w:val="00E913D2"/>
    <w:rsid w:val="00E966AF"/>
    <w:rsid w:val="00F43B4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ntstyle01">
    <w:name w:val="fontstyle01"/>
    <w:basedOn w:val="Policepardfaut"/>
    <w:rsid w:val="0014108E"/>
    <w:rPr>
      <w:rFonts w:ascii="Traditional Arabic" w:hAnsi="Traditional Arabic" w:cs="Traditional Arabic" w:hint="default"/>
      <w:b w:val="0"/>
      <w:bCs w:val="0"/>
      <w:i w:val="0"/>
      <w:iCs w:val="0"/>
      <w:color w:val="000000"/>
      <w:sz w:val="32"/>
      <w:szCs w:val="32"/>
    </w:rPr>
  </w:style>
  <w:style w:type="character" w:customStyle="1" w:styleId="fontstyle21">
    <w:name w:val="fontstyle21"/>
    <w:basedOn w:val="Policepardfaut"/>
    <w:rsid w:val="0014108E"/>
    <w:rPr>
      <w:rFonts w:ascii="Times New Roman" w:hAnsi="Times New Roman" w:cs="Times New Roman" w:hint="default"/>
      <w:b w:val="0"/>
      <w:bCs w:val="0"/>
      <w:i w:val="0"/>
      <w:iCs w:val="0"/>
      <w:color w:val="000000"/>
      <w:sz w:val="22"/>
      <w:szCs w:val="22"/>
    </w:rPr>
  </w:style>
  <w:style w:type="character" w:customStyle="1" w:styleId="fontstyle31">
    <w:name w:val="fontstyle31"/>
    <w:basedOn w:val="Policepardfaut"/>
    <w:rsid w:val="0014108E"/>
    <w:rPr>
      <w:rFonts w:ascii="Traditional Arabic" w:hAnsi="Traditional Arabic" w:cs="Traditional Arabic" w:hint="default"/>
      <w:b/>
      <w:bCs/>
      <w:i w:val="0"/>
      <w:iCs w:val="0"/>
      <w:color w:val="000000"/>
      <w:sz w:val="36"/>
      <w:szCs w:val="36"/>
    </w:rPr>
  </w:style>
  <w:style w:type="paragraph" w:styleId="Notedebasdepage">
    <w:name w:val="footnote text"/>
    <w:basedOn w:val="Normal"/>
    <w:link w:val="NotedebasdepageCar"/>
    <w:uiPriority w:val="99"/>
    <w:semiHidden/>
    <w:unhideWhenUsed/>
    <w:rsid w:val="00E913D2"/>
    <w:pPr>
      <w:spacing w:after="0"/>
    </w:pPr>
    <w:rPr>
      <w:sz w:val="20"/>
      <w:szCs w:val="20"/>
    </w:rPr>
  </w:style>
  <w:style w:type="character" w:customStyle="1" w:styleId="NotedebasdepageCar">
    <w:name w:val="Note de bas de page Car"/>
    <w:basedOn w:val="Policepardfaut"/>
    <w:link w:val="Notedebasdepage"/>
    <w:uiPriority w:val="99"/>
    <w:semiHidden/>
    <w:rsid w:val="00E913D2"/>
    <w:rPr>
      <w:sz w:val="20"/>
      <w:szCs w:val="20"/>
    </w:rPr>
  </w:style>
  <w:style w:type="character" w:styleId="Appelnotedebasdep">
    <w:name w:val="footnote reference"/>
    <w:basedOn w:val="Policepardfaut"/>
    <w:uiPriority w:val="99"/>
    <w:semiHidden/>
    <w:unhideWhenUsed/>
    <w:rsid w:val="00E913D2"/>
    <w:rPr>
      <w:vertAlign w:val="superscript"/>
    </w:rPr>
  </w:style>
  <w:style w:type="character" w:customStyle="1" w:styleId="fontstyle11">
    <w:name w:val="fontstyle11"/>
    <w:basedOn w:val="Policepardfaut"/>
    <w:rsid w:val="00CB12F2"/>
    <w:rPr>
      <w:rFonts w:ascii="Traditional Arabic" w:hAnsi="Traditional Arabic" w:cs="Traditional Arabic" w:hint="default"/>
      <w:b w:val="0"/>
      <w:bCs w:val="0"/>
      <w:i w:val="0"/>
      <w:iCs w:val="0"/>
      <w:color w:val="000000"/>
      <w:sz w:val="24"/>
      <w:szCs w:val="24"/>
    </w:rPr>
  </w:style>
  <w:style w:type="paragraph" w:styleId="En-tte">
    <w:name w:val="header"/>
    <w:basedOn w:val="Normal"/>
    <w:link w:val="En-tteCar"/>
    <w:uiPriority w:val="99"/>
    <w:semiHidden/>
    <w:unhideWhenUsed/>
    <w:rsid w:val="00AD5B40"/>
    <w:pPr>
      <w:tabs>
        <w:tab w:val="center" w:pos="4536"/>
        <w:tab w:val="right" w:pos="9072"/>
      </w:tabs>
      <w:spacing w:after="0"/>
    </w:pPr>
  </w:style>
  <w:style w:type="character" w:customStyle="1" w:styleId="En-tteCar">
    <w:name w:val="En-tête Car"/>
    <w:basedOn w:val="Policepardfaut"/>
    <w:link w:val="En-tte"/>
    <w:uiPriority w:val="99"/>
    <w:semiHidden/>
    <w:rsid w:val="00AD5B40"/>
  </w:style>
  <w:style w:type="paragraph" w:styleId="Pieddepage">
    <w:name w:val="footer"/>
    <w:basedOn w:val="Normal"/>
    <w:link w:val="PieddepageCar"/>
    <w:uiPriority w:val="99"/>
    <w:semiHidden/>
    <w:unhideWhenUsed/>
    <w:rsid w:val="00AD5B40"/>
    <w:pPr>
      <w:tabs>
        <w:tab w:val="center" w:pos="4536"/>
        <w:tab w:val="right" w:pos="9072"/>
      </w:tabs>
      <w:spacing w:after="0"/>
    </w:pPr>
  </w:style>
  <w:style w:type="character" w:customStyle="1" w:styleId="PieddepageCar">
    <w:name w:val="Pied de page Car"/>
    <w:basedOn w:val="Policepardfaut"/>
    <w:link w:val="Pieddepage"/>
    <w:uiPriority w:val="99"/>
    <w:semiHidden/>
    <w:rsid w:val="00AD5B4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D5971-7504-4350-BE1D-CAE4F6149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2051</Words>
  <Characters>11284</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7</cp:revision>
  <dcterms:created xsi:type="dcterms:W3CDTF">2026-01-30T23:47:00Z</dcterms:created>
  <dcterms:modified xsi:type="dcterms:W3CDTF">2026-02-11T14:38:00Z</dcterms:modified>
</cp:coreProperties>
</file>