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07A8" w:rsidRDefault="00E37260" w:rsidP="007E7FED">
      <w:pPr>
        <w:bidi/>
        <w:rPr>
          <w:rFonts w:ascii="Traditional Arabic" w:hAnsi="Traditional Arabic" w:cs="Traditional Arabic"/>
          <w:b/>
          <w:bCs/>
          <w:color w:val="984806" w:themeColor="accent6" w:themeShade="80"/>
          <w:sz w:val="36"/>
          <w:szCs w:val="36"/>
          <w:rtl/>
          <w:lang w:bidi="ar-DZ"/>
        </w:rPr>
      </w:pPr>
      <w:r w:rsidRPr="00E37260">
        <w:rPr>
          <w:rFonts w:ascii="Traditional Arabic" w:hAnsi="Traditional Arabic" w:cs="Traditional Arabic" w:hint="cs"/>
          <w:b/>
          <w:bCs/>
          <w:color w:val="984806" w:themeColor="accent6" w:themeShade="80"/>
          <w:sz w:val="36"/>
          <w:szCs w:val="36"/>
          <w:rtl/>
          <w:lang w:bidi="ar-DZ"/>
        </w:rPr>
        <w:t xml:space="preserve">المحاضرة </w:t>
      </w:r>
      <w:r w:rsidR="001F78B6">
        <w:rPr>
          <w:rFonts w:ascii="Traditional Arabic" w:hAnsi="Traditional Arabic" w:cs="Traditional Arabic" w:hint="cs"/>
          <w:b/>
          <w:bCs/>
          <w:color w:val="984806" w:themeColor="accent6" w:themeShade="80"/>
          <w:sz w:val="36"/>
          <w:szCs w:val="36"/>
          <w:rtl/>
          <w:lang w:bidi="ar-DZ"/>
        </w:rPr>
        <w:t>الت</w:t>
      </w:r>
      <w:r w:rsidR="00F4730C">
        <w:rPr>
          <w:rFonts w:ascii="Traditional Arabic" w:hAnsi="Traditional Arabic" w:cs="Traditional Arabic" w:hint="cs"/>
          <w:b/>
          <w:bCs/>
          <w:color w:val="984806" w:themeColor="accent6" w:themeShade="80"/>
          <w:sz w:val="36"/>
          <w:szCs w:val="36"/>
          <w:rtl/>
          <w:lang w:bidi="ar-DZ"/>
        </w:rPr>
        <w:t>ّ</w:t>
      </w:r>
      <w:r w:rsidR="001F78B6">
        <w:rPr>
          <w:rFonts w:ascii="Traditional Arabic" w:hAnsi="Traditional Arabic" w:cs="Traditional Arabic" w:hint="cs"/>
          <w:b/>
          <w:bCs/>
          <w:color w:val="984806" w:themeColor="accent6" w:themeShade="80"/>
          <w:sz w:val="36"/>
          <w:szCs w:val="36"/>
          <w:rtl/>
          <w:lang w:bidi="ar-DZ"/>
        </w:rPr>
        <w:t>اسعة:</w:t>
      </w:r>
    </w:p>
    <w:p w:rsidR="00BD69ED" w:rsidRPr="00BD69ED" w:rsidRDefault="00BD69ED" w:rsidP="00F4730C">
      <w:pPr>
        <w:bidi/>
        <w:rPr>
          <w:rFonts w:ascii="Traditional Arabic" w:hAnsi="Traditional Arabic" w:cs="Traditional Arabic"/>
          <w:b/>
          <w:bCs/>
          <w:color w:val="92D050"/>
          <w:sz w:val="36"/>
          <w:szCs w:val="36"/>
          <w:rtl/>
          <w:lang w:bidi="ar-DZ"/>
        </w:rPr>
      </w:pPr>
      <w:r w:rsidRPr="00BD69ED">
        <w:rPr>
          <w:rFonts w:ascii="Traditional Arabic" w:hAnsi="Traditional Arabic" w:cs="Traditional Arabic"/>
          <w:b/>
          <w:bCs/>
          <w:color w:val="92D050"/>
          <w:sz w:val="36"/>
          <w:szCs w:val="36"/>
          <w:rtl/>
          <w:lang w:bidi="ar-DZ"/>
        </w:rPr>
        <w:t>بلاشير وتفسير القرآن الكريم</w:t>
      </w:r>
    </w:p>
    <w:p w:rsidR="000C78D1" w:rsidRDefault="00BD69ED" w:rsidP="000C78D1">
      <w:pPr>
        <w:bidi/>
        <w:rPr>
          <w:rFonts w:ascii="Traditional Arabic" w:hAnsi="Traditional Arabic" w:cs="Traditional Arabic"/>
          <w:color w:val="000000"/>
          <w:sz w:val="36"/>
          <w:szCs w:val="36"/>
          <w:rtl/>
        </w:rPr>
      </w:pPr>
      <w:r w:rsidRPr="00BD69ED">
        <w:rPr>
          <w:rStyle w:val="fontstyle01"/>
          <w:rFonts w:ascii="Traditional Arabic" w:hAnsi="Traditional Arabic" w:cs="Traditional Arabic"/>
          <w:sz w:val="36"/>
          <w:szCs w:val="36"/>
          <w:rtl/>
        </w:rPr>
        <w:t xml:space="preserve"> </w:t>
      </w:r>
      <w:r>
        <w:rPr>
          <w:rStyle w:val="fontstyle01"/>
          <w:rFonts w:ascii="Traditional Arabic" w:hAnsi="Traditional Arabic" w:cs="Traditional Arabic" w:hint="cs"/>
          <w:sz w:val="36"/>
          <w:szCs w:val="36"/>
          <w:rtl/>
        </w:rPr>
        <w:t xml:space="preserve">  </w:t>
      </w:r>
      <w:r w:rsidRPr="00BD69ED">
        <w:rPr>
          <w:rFonts w:ascii="Traditional Arabic" w:hAnsi="Traditional Arabic" w:cs="Traditional Arabic"/>
          <w:color w:val="000000"/>
          <w:sz w:val="36"/>
          <w:szCs w:val="36"/>
          <w:rtl/>
        </w:rPr>
        <w:t xml:space="preserve">ريجيس بلاشير </w:t>
      </w:r>
      <w:r w:rsidRPr="00BD69ED">
        <w:rPr>
          <w:rFonts w:ascii="Traditional Arabic" w:hAnsi="Traditional Arabic" w:cs="Traditional Arabic"/>
          <w:color w:val="000000"/>
          <w:sz w:val="36"/>
          <w:szCs w:val="36"/>
        </w:rPr>
        <w:t>RegisBlachere</w:t>
      </w:r>
      <w:r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BD69ED">
        <w:rPr>
          <w:rFonts w:ascii="Traditional Arabic" w:hAnsi="Traditional Arabic" w:cs="Traditional Arabic"/>
          <w:color w:val="000000"/>
          <w:sz w:val="36"/>
          <w:szCs w:val="36"/>
          <w:rtl/>
        </w:rPr>
        <w:t>مستشرق فرنسي، ولد في باريس، ثم ارتحل مع أسرته</w:t>
      </w:r>
      <w:r w:rsidRPr="00BD69ED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Pr="00BD69ED">
        <w:rPr>
          <w:rFonts w:ascii="Traditional Arabic" w:hAnsi="Traditional Arabic" w:cs="Traditional Arabic"/>
          <w:color w:val="000000"/>
          <w:sz w:val="36"/>
          <w:szCs w:val="36"/>
          <w:rtl/>
        </w:rPr>
        <w:t>إلى المغرب</w:t>
      </w:r>
      <w:r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BD69ED">
        <w:rPr>
          <w:rFonts w:ascii="Traditional Arabic" w:hAnsi="Traditional Arabic" w:cs="Traditional Arabic"/>
          <w:color w:val="000000"/>
          <w:sz w:val="36"/>
          <w:szCs w:val="36"/>
          <w:rtl/>
        </w:rPr>
        <w:t>عام</w:t>
      </w:r>
      <w:r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>1915</w:t>
      </w:r>
      <w:r w:rsidRPr="00BD69ED">
        <w:rPr>
          <w:rFonts w:ascii="Traditional Arabic" w:hAnsi="Traditional Arabic" w:cs="Traditional Arabic"/>
          <w:color w:val="000000"/>
          <w:sz w:val="36"/>
          <w:szCs w:val="36"/>
          <w:rtl/>
        </w:rPr>
        <w:t>م، وهناك تلقى دروسه في مدرسة فرنسية، ثم التحق بجامعة الجزائر وحصل فيها</w:t>
      </w:r>
      <w:r w:rsidRPr="00BD69ED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Pr="00BD69ED">
        <w:rPr>
          <w:rFonts w:ascii="Traditional Arabic" w:hAnsi="Traditional Arabic" w:cs="Traditional Arabic"/>
          <w:color w:val="000000"/>
          <w:sz w:val="36"/>
          <w:szCs w:val="36"/>
          <w:rtl/>
        </w:rPr>
        <w:t>على الليسانس عام</w:t>
      </w:r>
      <w:r w:rsidR="0089312D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>1922</w:t>
      </w:r>
      <w:r w:rsidRPr="00BD69ED">
        <w:rPr>
          <w:rFonts w:ascii="Traditional Arabic" w:hAnsi="Traditional Arabic" w:cs="Traditional Arabic"/>
          <w:color w:val="000000"/>
          <w:sz w:val="36"/>
          <w:szCs w:val="36"/>
          <w:rtl/>
        </w:rPr>
        <w:t xml:space="preserve">م. وعمل بعدها مدرساً في مدرسة مولاي يوسف عام </w:t>
      </w:r>
      <w:r w:rsidR="0089312D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1924، </w:t>
      </w:r>
      <w:r w:rsidRPr="00BD69ED">
        <w:rPr>
          <w:rFonts w:ascii="Traditional Arabic" w:hAnsi="Traditional Arabic" w:cs="Traditional Arabic"/>
          <w:color w:val="000000"/>
          <w:sz w:val="36"/>
          <w:szCs w:val="36"/>
          <w:rtl/>
        </w:rPr>
        <w:t>ثم عُيّن</w:t>
      </w:r>
      <w:r w:rsidRPr="00BD69ED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Pr="00BD69ED">
        <w:rPr>
          <w:rFonts w:ascii="Traditional Arabic" w:hAnsi="Traditional Arabic" w:cs="Traditional Arabic"/>
          <w:color w:val="000000"/>
          <w:sz w:val="36"/>
          <w:szCs w:val="36"/>
          <w:rtl/>
        </w:rPr>
        <w:t>مدرساً في معهد الدراسات المغربية العليا في الرباط عام</w:t>
      </w:r>
      <w:r w:rsidR="0089312D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>1929</w:t>
      </w:r>
      <w:r w:rsidRPr="00BD69ED">
        <w:rPr>
          <w:rFonts w:ascii="Traditional Arabic" w:hAnsi="Traditional Arabic" w:cs="Traditional Arabic"/>
          <w:color w:val="000000"/>
          <w:sz w:val="36"/>
          <w:szCs w:val="36"/>
          <w:rtl/>
        </w:rPr>
        <w:t>م.</w:t>
      </w:r>
      <w:r w:rsidR="0089312D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BD69ED">
        <w:rPr>
          <w:rFonts w:ascii="Traditional Arabic" w:hAnsi="Traditional Arabic" w:cs="Traditional Arabic"/>
          <w:color w:val="000000"/>
          <w:sz w:val="36"/>
          <w:szCs w:val="36"/>
          <w:rtl/>
        </w:rPr>
        <w:t>واستمر في عمله هذا حتى عام</w:t>
      </w:r>
      <w:r w:rsidRPr="00BD69ED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="0089312D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>1935</w:t>
      </w:r>
      <w:r w:rsidRPr="00BD69ED">
        <w:rPr>
          <w:rFonts w:ascii="Traditional Arabic" w:hAnsi="Traditional Arabic" w:cs="Traditional Arabic"/>
          <w:color w:val="000000"/>
          <w:sz w:val="36"/>
          <w:szCs w:val="36"/>
          <w:rtl/>
        </w:rPr>
        <w:t>م، حين استدعي إلى باريس ليشغل كرسي الأدب في مدرسة اللغات الشرقية.وفي سنة</w:t>
      </w:r>
      <w:r w:rsidRPr="00BD69ED">
        <w:rPr>
          <w:rFonts w:ascii="Traditional Arabic" w:hAnsi="Traditional Arabic" w:cs="Traditional Arabic"/>
          <w:color w:val="000000"/>
          <w:sz w:val="36"/>
          <w:szCs w:val="36"/>
        </w:rPr>
        <w:br/>
        <w:t>9191</w:t>
      </w:r>
      <w:r w:rsidRPr="00BD69ED">
        <w:rPr>
          <w:rFonts w:ascii="Traditional Arabic" w:hAnsi="Traditional Arabic" w:cs="Traditional Arabic"/>
          <w:color w:val="000000"/>
          <w:sz w:val="36"/>
          <w:szCs w:val="36"/>
          <w:rtl/>
        </w:rPr>
        <w:t xml:space="preserve">م نال درجة دكتوراه دولة </w:t>
      </w:r>
      <w:r w:rsidRPr="00BD69ED">
        <w:rPr>
          <w:rFonts w:ascii="Traditional Arabic" w:hAnsi="Traditional Arabic" w:cs="Traditional Arabic"/>
          <w:color w:val="000000"/>
          <w:sz w:val="36"/>
          <w:szCs w:val="36"/>
        </w:rPr>
        <w:t>Doctorat d’Etat</w:t>
      </w:r>
      <w:r w:rsidR="0089312D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BD69ED">
        <w:rPr>
          <w:rFonts w:ascii="Traditional Arabic" w:hAnsi="Traditional Arabic" w:cs="Traditional Arabic"/>
          <w:color w:val="000000"/>
          <w:sz w:val="36"/>
          <w:szCs w:val="36"/>
          <w:rtl/>
        </w:rPr>
        <w:t>في جامعة باريس برسالتين: الأولى عن أبي</w:t>
      </w:r>
      <w:r w:rsidRPr="00BD69ED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Pr="00BD69ED">
        <w:rPr>
          <w:rFonts w:ascii="Traditional Arabic" w:hAnsi="Traditional Arabic" w:cs="Traditional Arabic"/>
          <w:color w:val="000000"/>
          <w:sz w:val="36"/>
          <w:szCs w:val="36"/>
          <w:rtl/>
        </w:rPr>
        <w:t>الطيب المتنبي، والثانية ترجمة فرنسية لكتاب «طبقات الأمم» لصاعد الأندلسي مع تعليقات وافرة</w:t>
      </w:r>
      <w:r w:rsidRPr="00BD69ED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Pr="00BD69ED">
        <w:rPr>
          <w:rFonts w:ascii="Traditional Arabic" w:hAnsi="Traditional Arabic" w:cs="Traditional Arabic"/>
          <w:color w:val="000000"/>
          <w:sz w:val="36"/>
          <w:szCs w:val="36"/>
          <w:rtl/>
        </w:rPr>
        <w:t>مفيدة</w:t>
      </w:r>
      <w:r w:rsidRPr="00BD69ED">
        <w:rPr>
          <w:rFonts w:ascii="Traditional Arabic" w:hAnsi="Traditional Arabic" w:cs="Traditional Arabic"/>
          <w:color w:val="000000"/>
          <w:sz w:val="36"/>
          <w:szCs w:val="36"/>
        </w:rPr>
        <w:t>.</w:t>
      </w:r>
      <w:r w:rsidRPr="00BD69ED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="000C78D1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="0089312D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 </w:t>
      </w:r>
      <w:r w:rsidR="0089312D">
        <w:rPr>
          <w:rFonts w:ascii="Traditional Arabic" w:hAnsi="Traditional Arabic" w:cs="Traditional Arabic"/>
          <w:color w:val="000000"/>
          <w:sz w:val="36"/>
          <w:szCs w:val="36"/>
          <w:rtl/>
        </w:rPr>
        <w:t>وعيِّ</w:t>
      </w:r>
      <w:r w:rsidRPr="00BD69ED">
        <w:rPr>
          <w:rFonts w:ascii="Traditional Arabic" w:hAnsi="Traditional Arabic" w:cs="Traditional Arabic"/>
          <w:color w:val="000000"/>
          <w:sz w:val="36"/>
          <w:szCs w:val="36"/>
          <w:rtl/>
        </w:rPr>
        <w:t>ن إثر ذلك أستاذاً للغة العربية في "المدرسة الوطنية للغات الشرقية" بباريس، وظل في منصبه</w:t>
      </w:r>
      <w:r w:rsidRPr="00BD69ED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Pr="00BD69ED">
        <w:rPr>
          <w:rFonts w:ascii="Traditional Arabic" w:hAnsi="Traditional Arabic" w:cs="Traditional Arabic"/>
          <w:color w:val="000000"/>
          <w:sz w:val="36"/>
          <w:szCs w:val="36"/>
          <w:rtl/>
        </w:rPr>
        <w:t xml:space="preserve">هذا حتى عام </w:t>
      </w:r>
      <w:r w:rsidR="0089312D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>1950</w:t>
      </w:r>
      <w:r w:rsidRPr="00BD69ED">
        <w:rPr>
          <w:rFonts w:ascii="Traditional Arabic" w:hAnsi="Traditional Arabic" w:cs="Traditional Arabic"/>
          <w:color w:val="000000"/>
          <w:sz w:val="36"/>
          <w:szCs w:val="36"/>
          <w:rtl/>
        </w:rPr>
        <w:t>م، ثم شغل كرسي "اللغة والأدب العربيين" في السوربون حتى تقاعده عام</w:t>
      </w:r>
      <w:r w:rsidRPr="00BD69ED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="0089312D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>1970</w:t>
      </w:r>
      <w:r w:rsidR="0089312D">
        <w:rPr>
          <w:rFonts w:ascii="Traditional Arabic" w:hAnsi="Traditional Arabic" w:cs="Traditional Arabic"/>
          <w:color w:val="000000"/>
          <w:sz w:val="36"/>
          <w:szCs w:val="36"/>
          <w:rtl/>
        </w:rPr>
        <w:t>م،</w:t>
      </w:r>
      <w:r w:rsidR="0089312D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BD69ED">
        <w:rPr>
          <w:rFonts w:ascii="Traditional Arabic" w:hAnsi="Traditional Arabic" w:cs="Traditional Arabic"/>
          <w:color w:val="000000"/>
          <w:sz w:val="36"/>
          <w:szCs w:val="36"/>
          <w:rtl/>
        </w:rPr>
        <w:t xml:space="preserve">وانتخب عام </w:t>
      </w:r>
      <w:r w:rsidR="0089312D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>1972</w:t>
      </w:r>
      <w:r w:rsidRPr="00BD69ED">
        <w:rPr>
          <w:rFonts w:ascii="Traditional Arabic" w:hAnsi="Traditional Arabic" w:cs="Traditional Arabic"/>
          <w:color w:val="000000"/>
          <w:sz w:val="36"/>
          <w:szCs w:val="36"/>
          <w:rtl/>
        </w:rPr>
        <w:t>م عضواً في أكاديمية الآداب والفنون الجميلة</w:t>
      </w:r>
      <w:r w:rsidRPr="00BD69ED">
        <w:rPr>
          <w:rFonts w:ascii="Traditional Arabic" w:hAnsi="Traditional Arabic" w:cs="Traditional Arabic"/>
          <w:color w:val="000000"/>
          <w:sz w:val="36"/>
          <w:szCs w:val="36"/>
        </w:rPr>
        <w:t>.</w:t>
      </w:r>
      <w:r w:rsidRPr="00BD69ED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="0089312D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BD69ED">
        <w:rPr>
          <w:rFonts w:ascii="Traditional Arabic" w:hAnsi="Traditional Arabic" w:cs="Traditional Arabic"/>
          <w:color w:val="000000"/>
          <w:sz w:val="36"/>
          <w:szCs w:val="36"/>
          <w:rtl/>
        </w:rPr>
        <w:t>شغل بلاشير، أيضاً، عدة مناصب علمية، منها: مدير مركز المعجميات العربية التابع للمركز</w:t>
      </w:r>
      <w:r w:rsidRPr="00BD69ED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Pr="00BD69ED">
        <w:rPr>
          <w:rFonts w:ascii="Traditional Arabic" w:hAnsi="Traditional Arabic" w:cs="Traditional Arabic"/>
          <w:color w:val="000000"/>
          <w:sz w:val="36"/>
          <w:szCs w:val="36"/>
          <w:rtl/>
        </w:rPr>
        <w:t>الوطني للبحوث العلمية، ومدير جمعية استقبال طلاب الشرق الأوسط، وكان عضواً في مجلس إدارة</w:t>
      </w:r>
      <w:r w:rsidRPr="00BD69ED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Pr="00BD69ED">
        <w:rPr>
          <w:rFonts w:ascii="Traditional Arabic" w:hAnsi="Traditional Arabic" w:cs="Traditional Arabic"/>
          <w:color w:val="000000"/>
          <w:sz w:val="36"/>
          <w:szCs w:val="36"/>
          <w:rtl/>
        </w:rPr>
        <w:t>الإرسالية العلمانية الفرنسية (اللاييك)</w:t>
      </w:r>
      <w:r w:rsidR="0089312D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BD69ED">
        <w:rPr>
          <w:rFonts w:ascii="Traditional Arabic" w:hAnsi="Traditional Arabic" w:cs="Traditional Arabic"/>
          <w:color w:val="000000"/>
          <w:sz w:val="36"/>
          <w:szCs w:val="36"/>
          <w:rtl/>
        </w:rPr>
        <w:t xml:space="preserve">التي كانت </w:t>
      </w:r>
      <w:r w:rsidR="0089312D" w:rsidRPr="00BD69ED">
        <w:rPr>
          <w:rFonts w:ascii="Traditional Arabic" w:hAnsi="Traditional Arabic" w:cs="Traditional Arabic"/>
          <w:color w:val="000000"/>
          <w:sz w:val="36"/>
          <w:szCs w:val="36"/>
          <w:rtl/>
        </w:rPr>
        <w:t xml:space="preserve">توفر </w:t>
      </w:r>
      <w:r w:rsidRPr="00BD69ED">
        <w:rPr>
          <w:rFonts w:ascii="Traditional Arabic" w:hAnsi="Traditional Arabic" w:cs="Traditional Arabic"/>
          <w:color w:val="000000"/>
          <w:sz w:val="36"/>
          <w:szCs w:val="36"/>
          <w:rtl/>
        </w:rPr>
        <w:t>دراسة فرنسية عربية مختلطة في الشرق الأوسط،</w:t>
      </w:r>
      <w:r w:rsidRPr="00BD69ED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Pr="00BD69ED">
        <w:rPr>
          <w:rFonts w:ascii="Traditional Arabic" w:hAnsi="Traditional Arabic" w:cs="Traditional Arabic"/>
          <w:color w:val="000000"/>
          <w:sz w:val="36"/>
          <w:szCs w:val="36"/>
          <w:rtl/>
        </w:rPr>
        <w:t xml:space="preserve">وذلك حتى عام </w:t>
      </w:r>
      <w:r w:rsidR="0089312D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>1956</w:t>
      </w:r>
      <w:r w:rsidRPr="00BD69ED">
        <w:rPr>
          <w:rFonts w:ascii="Traditional Arabic" w:hAnsi="Traditional Arabic" w:cs="Traditional Arabic"/>
          <w:color w:val="000000"/>
          <w:sz w:val="36"/>
          <w:szCs w:val="36"/>
          <w:rtl/>
        </w:rPr>
        <w:t>م (العدوان الثلاثي على مصر). وكان مستشاراً في لجنة المعهد الفرنسي للدراسات الأثرية في القاهرة، والمجلس العلمي للمعهد</w:t>
      </w:r>
      <w:r w:rsidR="0089312D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BD69ED">
        <w:rPr>
          <w:rFonts w:ascii="Traditional Arabic" w:hAnsi="Traditional Arabic" w:cs="Traditional Arabic"/>
          <w:color w:val="000000"/>
          <w:sz w:val="36"/>
          <w:szCs w:val="36"/>
          <w:rtl/>
        </w:rPr>
        <w:t>الفرنسي للدراسات العربية بدمشق</w:t>
      </w:r>
      <w:r w:rsidRPr="00BD69ED">
        <w:rPr>
          <w:rFonts w:ascii="Traditional Arabic" w:hAnsi="Traditional Arabic" w:cs="Traditional Arabic"/>
          <w:color w:val="000000"/>
          <w:sz w:val="36"/>
          <w:szCs w:val="36"/>
        </w:rPr>
        <w:t>.</w:t>
      </w:r>
      <w:r w:rsidRPr="00BD69ED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Pr="00BD69ED">
        <w:rPr>
          <w:rFonts w:ascii="Traditional Arabic" w:hAnsi="Traditional Arabic" w:cs="Traditional Arabic"/>
          <w:color w:val="000000"/>
          <w:sz w:val="36"/>
          <w:szCs w:val="36"/>
          <w:rtl/>
        </w:rPr>
        <w:t>تنوعت اهتمامات بلاشير في دراسته الثقافة العربية الإسلامية، إذ لم يختص بجانب منها دون</w:t>
      </w:r>
      <w:r w:rsidRPr="00BD69ED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Pr="00BD69ED">
        <w:rPr>
          <w:rFonts w:ascii="Traditional Arabic" w:hAnsi="Traditional Arabic" w:cs="Traditional Arabic"/>
          <w:color w:val="000000"/>
          <w:sz w:val="36"/>
          <w:szCs w:val="36"/>
          <w:rtl/>
        </w:rPr>
        <w:t>آخر، فكانت له بحوث في الأدب العربي وعلوم اللغة العربية، وتاريخ العلوم عند العرب وإنجازات</w:t>
      </w:r>
      <w:r w:rsidRPr="00BD69ED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Pr="00BD69ED">
        <w:rPr>
          <w:rFonts w:ascii="Traditional Arabic" w:hAnsi="Traditional Arabic" w:cs="Traditional Arabic"/>
          <w:color w:val="000000"/>
          <w:sz w:val="36"/>
          <w:szCs w:val="36"/>
          <w:rtl/>
        </w:rPr>
        <w:t>العرب في الجغرافية، واهتم أيضاً بالدراسات الدينية، فترجم القرآن الكريم إلى الفرنسية مع مقدمة وافية</w:t>
      </w:r>
      <w:r w:rsidR="0089312D">
        <w:rPr>
          <w:rFonts w:ascii="Traditional Arabic" w:hAnsi="Traditional Arabic" w:cs="Traditional Arabic" w:hint="cs"/>
          <w:sz w:val="36"/>
          <w:szCs w:val="36"/>
          <w:rtl/>
        </w:rPr>
        <w:t>.</w:t>
      </w:r>
      <w:r w:rsidR="0089312D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BD69ED">
        <w:rPr>
          <w:rFonts w:ascii="Traditional Arabic" w:hAnsi="Traditional Arabic" w:cs="Traditional Arabic"/>
          <w:color w:val="000000"/>
          <w:sz w:val="36"/>
          <w:szCs w:val="36"/>
          <w:rtl/>
        </w:rPr>
        <w:t>وتفسير مختصر لآياته، وكانت هذه الترجمة مرتبة بحسب نزول السور والآيات فيها، ثم أعاد طبع هذه</w:t>
      </w:r>
      <w:r w:rsidR="0089312D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BD69ED">
        <w:rPr>
          <w:rFonts w:ascii="Traditional Arabic" w:hAnsi="Traditional Arabic" w:cs="Traditional Arabic"/>
          <w:color w:val="000000"/>
          <w:sz w:val="36"/>
          <w:szCs w:val="36"/>
          <w:rtl/>
        </w:rPr>
        <w:t>الترجمة مرتبة على ما هو شائع في المصحف ولعلها من أ</w:t>
      </w:r>
      <w:r w:rsidR="0089312D">
        <w:rPr>
          <w:rFonts w:ascii="Traditional Arabic" w:hAnsi="Traditional Arabic" w:cs="Traditional Arabic"/>
          <w:color w:val="000000"/>
          <w:sz w:val="36"/>
          <w:szCs w:val="36"/>
          <w:rtl/>
        </w:rPr>
        <w:t>فضل ترجمات القرآن إلى الفرنسية</w:t>
      </w:r>
      <w:r w:rsidR="0089312D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، </w:t>
      </w:r>
      <w:r w:rsidRPr="00BD69ED">
        <w:rPr>
          <w:rFonts w:ascii="Traditional Arabic" w:hAnsi="Traditional Arabic" w:cs="Traditional Arabic"/>
          <w:color w:val="000000"/>
          <w:sz w:val="36"/>
          <w:szCs w:val="36"/>
          <w:rtl/>
        </w:rPr>
        <w:t>ووضع</w:t>
      </w:r>
      <w:r w:rsidR="0089312D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="0089312D" w:rsidRPr="00BD69ED">
        <w:rPr>
          <w:rFonts w:ascii="Traditional Arabic" w:hAnsi="Traditional Arabic" w:cs="Traditional Arabic"/>
          <w:color w:val="000000"/>
          <w:sz w:val="36"/>
          <w:szCs w:val="36"/>
          <w:rtl/>
        </w:rPr>
        <w:t xml:space="preserve">كتاباً </w:t>
      </w:r>
      <w:r w:rsidR="0089312D">
        <w:rPr>
          <w:rFonts w:ascii="Traditional Arabic" w:hAnsi="Traditional Arabic" w:cs="Traditional Arabic"/>
          <w:color w:val="000000"/>
          <w:sz w:val="36"/>
          <w:szCs w:val="36"/>
          <w:rtl/>
        </w:rPr>
        <w:t>عن ا</w:t>
      </w:r>
      <w:r w:rsidRPr="00BD69ED">
        <w:rPr>
          <w:rFonts w:ascii="Traditional Arabic" w:hAnsi="Traditional Arabic" w:cs="Traditional Arabic"/>
          <w:color w:val="000000"/>
          <w:sz w:val="36"/>
          <w:szCs w:val="36"/>
          <w:rtl/>
        </w:rPr>
        <w:t>لرسول</w:t>
      </w:r>
      <w:r w:rsidR="0089312D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BD69ED">
        <w:rPr>
          <w:rFonts w:ascii="Traditional Arabic" w:hAnsi="Traditional Arabic" w:cs="Traditional Arabic"/>
          <w:color w:val="000000"/>
          <w:sz w:val="36"/>
          <w:szCs w:val="36"/>
          <w:rtl/>
        </w:rPr>
        <w:t>(صلى الله عليه وسلم ) لخص فيه أبحاث المستشرقين الذين كتبوا عن حياة الرسول</w:t>
      </w:r>
      <w:r w:rsidRPr="00BD69ED">
        <w:rPr>
          <w:rFonts w:ascii="Traditional Arabic" w:hAnsi="Traditional Arabic" w:cs="Traditional Arabic"/>
          <w:color w:val="000000"/>
          <w:sz w:val="36"/>
          <w:szCs w:val="36"/>
        </w:rPr>
        <w:t>.</w:t>
      </w:r>
      <w:r w:rsidRPr="00BD69ED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="000C78D1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lastRenderedPageBreak/>
        <w:t xml:space="preserve">  </w:t>
      </w:r>
      <w:r w:rsidRPr="00BD69ED">
        <w:rPr>
          <w:rFonts w:ascii="Traditional Arabic" w:hAnsi="Traditional Arabic" w:cs="Traditional Arabic"/>
          <w:color w:val="000000"/>
          <w:sz w:val="36"/>
          <w:szCs w:val="36"/>
          <w:rtl/>
        </w:rPr>
        <w:t>اهتم بلاشير اهتماماً</w:t>
      </w:r>
      <w:r w:rsidR="000C78D1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BD69ED">
        <w:rPr>
          <w:rFonts w:ascii="Traditional Arabic" w:hAnsi="Traditional Arabic" w:cs="Traditional Arabic"/>
          <w:color w:val="000000"/>
          <w:sz w:val="36"/>
          <w:szCs w:val="36"/>
          <w:rtl/>
        </w:rPr>
        <w:t>كبيراً بأبي الطيب المتنبي، فألف عدة كتب في حياة الرجل وشعره. واهتم أيضاً</w:t>
      </w:r>
      <w:r w:rsidRPr="00BD69ED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Pr="00BD69ED">
        <w:rPr>
          <w:rFonts w:ascii="Traditional Arabic" w:hAnsi="Traditional Arabic" w:cs="Traditional Arabic"/>
          <w:color w:val="000000"/>
          <w:sz w:val="36"/>
          <w:szCs w:val="36"/>
          <w:rtl/>
        </w:rPr>
        <w:t>بتراث العرب المسلمين في الأندلس والمغرب، فألّف عدة كتب في شعراء العرب وأعلامهم البارزين</w:t>
      </w:r>
      <w:r w:rsidRPr="00BD69ED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Pr="00BD69ED">
        <w:rPr>
          <w:rFonts w:ascii="Traditional Arabic" w:hAnsi="Traditional Arabic" w:cs="Traditional Arabic"/>
          <w:color w:val="000000"/>
          <w:sz w:val="36"/>
          <w:szCs w:val="36"/>
          <w:rtl/>
        </w:rPr>
        <w:t>هناك</w:t>
      </w:r>
      <w:r w:rsidRPr="00BD69ED">
        <w:rPr>
          <w:rFonts w:ascii="Traditional Arabic" w:hAnsi="Traditional Arabic" w:cs="Traditional Arabic"/>
          <w:color w:val="000000"/>
          <w:sz w:val="36"/>
          <w:szCs w:val="36"/>
        </w:rPr>
        <w:t>.</w:t>
      </w:r>
      <w:r w:rsidR="000C78D1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BD69ED">
        <w:rPr>
          <w:rFonts w:ascii="Traditional Arabic" w:hAnsi="Traditional Arabic" w:cs="Traditional Arabic"/>
          <w:color w:val="000000"/>
          <w:sz w:val="36"/>
          <w:szCs w:val="36"/>
          <w:rtl/>
        </w:rPr>
        <w:t>ولم يقتصر بلاشير على دراسة التراث العربي القديم، بل تعداه إلى الاهتمام بالأدب العربي المعاصر،</w:t>
      </w:r>
      <w:r w:rsidR="000C78D1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BD69ED">
        <w:rPr>
          <w:rFonts w:ascii="Traditional Arabic" w:hAnsi="Traditional Arabic" w:cs="Traditional Arabic"/>
          <w:color w:val="000000"/>
          <w:sz w:val="36"/>
          <w:szCs w:val="36"/>
          <w:rtl/>
        </w:rPr>
        <w:t>فألّف في الأدب الحديث بالعراق، والاتباعية في الأدب العربي، وغير ذلك</w:t>
      </w:r>
      <w:r w:rsidRPr="00BD69ED">
        <w:rPr>
          <w:rFonts w:ascii="Traditional Arabic" w:hAnsi="Traditional Arabic" w:cs="Traditional Arabic"/>
          <w:color w:val="000000"/>
          <w:sz w:val="36"/>
          <w:szCs w:val="36"/>
        </w:rPr>
        <w:t>.</w:t>
      </w:r>
      <w:r w:rsidRPr="00BD69ED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="000C78D1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BD69ED">
        <w:rPr>
          <w:rFonts w:ascii="Traditional Arabic" w:hAnsi="Traditional Arabic" w:cs="Traditional Arabic"/>
          <w:color w:val="000000"/>
          <w:sz w:val="36"/>
          <w:szCs w:val="36"/>
          <w:rtl/>
        </w:rPr>
        <w:t>يعد كتاب "تاريخ الأدب العربي" أهم ما ألف بلاشير، ولكنه توفي قبل أن يتمه، ظهر منه ثلاثة أجزاء</w:t>
      </w:r>
      <w:r w:rsidR="000C78D1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BD69ED">
        <w:rPr>
          <w:rFonts w:ascii="Traditional Arabic" w:hAnsi="Traditional Arabic" w:cs="Traditional Arabic"/>
          <w:color w:val="000000"/>
          <w:sz w:val="36"/>
          <w:szCs w:val="36"/>
          <w:rtl/>
        </w:rPr>
        <w:t xml:space="preserve">تنتهي عند سنة </w:t>
      </w:r>
      <w:r w:rsidR="000C78D1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>125</w:t>
      </w:r>
      <w:r w:rsidRPr="00BD69ED">
        <w:rPr>
          <w:rFonts w:ascii="Traditional Arabic" w:hAnsi="Traditional Arabic" w:cs="Traditional Arabic"/>
          <w:color w:val="000000"/>
          <w:sz w:val="36"/>
          <w:szCs w:val="36"/>
          <w:rtl/>
        </w:rPr>
        <w:t xml:space="preserve">هـ، وكانت الخطة أن يشمل الكتاب تاريخ </w:t>
      </w:r>
      <w:r w:rsidR="000C78D1">
        <w:rPr>
          <w:rFonts w:ascii="Traditional Arabic" w:hAnsi="Traditional Arabic" w:cs="Traditional Arabic"/>
          <w:color w:val="000000"/>
          <w:sz w:val="36"/>
          <w:szCs w:val="36"/>
          <w:rtl/>
        </w:rPr>
        <w:t>الأدب العربي منذ البداية حتى</w:t>
      </w:r>
      <w:r w:rsidR="000C78D1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BD69ED">
        <w:rPr>
          <w:rFonts w:ascii="Traditional Arabic" w:hAnsi="Traditional Arabic" w:cs="Traditional Arabic"/>
          <w:color w:val="000000"/>
          <w:sz w:val="36"/>
          <w:szCs w:val="36"/>
          <w:rtl/>
        </w:rPr>
        <w:t>القرن</w:t>
      </w:r>
      <w:r w:rsidR="000C78D1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BD69ED">
        <w:rPr>
          <w:rFonts w:ascii="Traditional Arabic" w:hAnsi="Traditional Arabic" w:cs="Traditional Arabic"/>
          <w:color w:val="000000"/>
          <w:sz w:val="36"/>
          <w:szCs w:val="36"/>
          <w:rtl/>
        </w:rPr>
        <w:t>التاسع للهجرة/الخامس عشر للميلاد</w:t>
      </w:r>
      <w:r w:rsidRPr="00BD69ED">
        <w:rPr>
          <w:rFonts w:ascii="Traditional Arabic" w:hAnsi="Traditional Arabic" w:cs="Traditional Arabic"/>
          <w:color w:val="000000"/>
          <w:sz w:val="36"/>
          <w:szCs w:val="36"/>
        </w:rPr>
        <w:t>.</w:t>
      </w:r>
      <w:r w:rsidR="000C78D1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BD69ED">
        <w:rPr>
          <w:rFonts w:ascii="Traditional Arabic" w:hAnsi="Traditional Arabic" w:cs="Traditional Arabic"/>
          <w:color w:val="000000"/>
          <w:sz w:val="36"/>
          <w:szCs w:val="36"/>
          <w:rtl/>
        </w:rPr>
        <w:t>وقد استفاد بلاشير في كتابه هذا، مادةً ومنهجاً، من تجارب أسلافه، فسلك طريقاً جديدة في</w:t>
      </w:r>
      <w:r w:rsidR="000C78D1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BD69ED">
        <w:rPr>
          <w:rFonts w:ascii="Traditional Arabic" w:hAnsi="Traditional Arabic" w:cs="Traditional Arabic"/>
          <w:color w:val="000000"/>
          <w:sz w:val="36"/>
          <w:szCs w:val="36"/>
          <w:rtl/>
        </w:rPr>
        <w:t>التأليف محاولاً الربط بين ت</w:t>
      </w:r>
      <w:r w:rsidR="000C78D1">
        <w:rPr>
          <w:rFonts w:ascii="Traditional Arabic" w:hAnsi="Traditional Arabic" w:cs="Traditional Arabic"/>
          <w:color w:val="000000"/>
          <w:sz w:val="36"/>
          <w:szCs w:val="36"/>
          <w:rtl/>
        </w:rPr>
        <w:t>طور المجتمعات والوقائع الأدبية.</w:t>
      </w:r>
      <w:r w:rsidR="000C78D1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BD69ED">
        <w:rPr>
          <w:rFonts w:ascii="Traditional Arabic" w:hAnsi="Traditional Arabic" w:cs="Traditional Arabic"/>
          <w:color w:val="000000"/>
          <w:sz w:val="36"/>
          <w:szCs w:val="36"/>
          <w:rtl/>
        </w:rPr>
        <w:t>وقد ظهرت في الكتاب ميزات، منها</w:t>
      </w:r>
      <w:r w:rsidRPr="00BD69ED">
        <w:rPr>
          <w:rFonts w:ascii="Traditional Arabic" w:hAnsi="Traditional Arabic" w:cs="Traditional Arabic"/>
          <w:color w:val="000000"/>
          <w:sz w:val="36"/>
          <w:szCs w:val="36"/>
        </w:rPr>
        <w:t>:</w:t>
      </w:r>
      <w:r w:rsidR="000C78D1"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</w:p>
    <w:p w:rsidR="000C78D1" w:rsidRDefault="000C78D1" w:rsidP="000C78D1">
      <w:pPr>
        <w:bidi/>
        <w:rPr>
          <w:rFonts w:ascii="Traditional Arabic" w:hAnsi="Traditional Arabic" w:cs="Traditional Arabic"/>
          <w:color w:val="000000"/>
          <w:sz w:val="36"/>
          <w:szCs w:val="36"/>
          <w:rtl/>
        </w:rPr>
      </w:pPr>
      <w:r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 </w:t>
      </w:r>
      <w:r w:rsidR="00BD69ED" w:rsidRPr="00BD69ED">
        <w:rPr>
          <w:rFonts w:ascii="Traditional Arabic" w:hAnsi="Traditional Arabic" w:cs="Traditional Arabic"/>
          <w:color w:val="000000"/>
          <w:sz w:val="36"/>
          <w:szCs w:val="36"/>
          <w:rtl/>
        </w:rPr>
        <w:t>عنايته بإشعاع المراكز العقلية والتيارات الفكرية في العالم العربي،واكتشاف أنواع من الزمر العقلية</w:t>
      </w:r>
      <w:r w:rsidR="00BD69ED" w:rsidRPr="00BD69ED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="00BD69ED" w:rsidRPr="00BD69ED">
        <w:rPr>
          <w:rFonts w:ascii="Traditional Arabic" w:hAnsi="Traditional Arabic" w:cs="Traditional Arabic"/>
          <w:color w:val="000000"/>
          <w:sz w:val="36"/>
          <w:szCs w:val="36"/>
          <w:rtl/>
        </w:rPr>
        <w:t>المكونة من عباقرة الأدب العربي الذين أثروا في بيئاتهم وتأث</w:t>
      </w:r>
      <w:r>
        <w:rPr>
          <w:rFonts w:ascii="Traditional Arabic" w:hAnsi="Traditional Arabic" w:cs="Traditional Arabic"/>
          <w:color w:val="000000"/>
          <w:sz w:val="36"/>
          <w:szCs w:val="36"/>
          <w:rtl/>
        </w:rPr>
        <w:t>روا بها، فأصبحوا بذلك أمثلة يـُ</w:t>
      </w:r>
      <w:r w:rsidR="00BD69ED" w:rsidRPr="00BD69ED">
        <w:rPr>
          <w:rFonts w:ascii="Traditional Arabic" w:hAnsi="Traditional Arabic" w:cs="Traditional Arabic"/>
          <w:color w:val="000000"/>
          <w:sz w:val="36"/>
          <w:szCs w:val="36"/>
          <w:rtl/>
        </w:rPr>
        <w:t>قتدى بها</w:t>
      </w:r>
      <w:r w:rsidR="00BD69ED" w:rsidRPr="00BD69ED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="00BD69ED" w:rsidRPr="00BD69ED">
        <w:rPr>
          <w:rFonts w:ascii="Traditional Arabic" w:hAnsi="Traditional Arabic" w:cs="Traditional Arabic"/>
          <w:color w:val="000000"/>
          <w:sz w:val="36"/>
          <w:szCs w:val="36"/>
          <w:rtl/>
        </w:rPr>
        <w:t>لمن عاصرهم وجاء بعدهم، بما أوجدوه من مذاهب أدبية جديدة أو نماذج لذلك. وإبعاد كثير من</w:t>
      </w:r>
      <w:r w:rsidR="00BD69ED" w:rsidRPr="00BD69ED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="00BD69ED" w:rsidRPr="00BD69ED">
        <w:rPr>
          <w:rFonts w:ascii="Traditional Arabic" w:hAnsi="Traditional Arabic" w:cs="Traditional Arabic"/>
          <w:color w:val="000000"/>
          <w:sz w:val="36"/>
          <w:szCs w:val="36"/>
          <w:rtl/>
        </w:rPr>
        <w:t>الآثار الفلسفية والتاريخية واللغوية والفقهية وغيرها، من حيز الدراسة الأدبية، مما لا يدخل في نطاق</w:t>
      </w:r>
      <w:r w:rsidR="00BD69ED" w:rsidRPr="00BD69ED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="00BD69ED" w:rsidRPr="00BD69ED">
        <w:rPr>
          <w:rFonts w:ascii="Traditional Arabic" w:hAnsi="Traditional Arabic" w:cs="Traditional Arabic"/>
          <w:color w:val="000000"/>
          <w:sz w:val="36"/>
          <w:szCs w:val="36"/>
          <w:rtl/>
        </w:rPr>
        <w:t>الأدب الصرف</w:t>
      </w:r>
      <w:r w:rsidR="00BD69ED" w:rsidRPr="00BD69ED">
        <w:rPr>
          <w:rFonts w:ascii="Traditional Arabic" w:hAnsi="Traditional Arabic" w:cs="Traditional Arabic"/>
          <w:color w:val="000000"/>
          <w:sz w:val="36"/>
          <w:szCs w:val="36"/>
        </w:rPr>
        <w:t>.</w:t>
      </w:r>
    </w:p>
    <w:p w:rsidR="007476D7" w:rsidRPr="000C78D1" w:rsidRDefault="000C78D1" w:rsidP="000C78D1">
      <w:pPr>
        <w:bidi/>
        <w:rPr>
          <w:rFonts w:ascii="Traditional Arabic" w:hAnsi="Traditional Arabic" w:cs="Traditional Arabic"/>
          <w:color w:val="000000"/>
          <w:sz w:val="36"/>
          <w:szCs w:val="36"/>
          <w:rtl/>
        </w:rPr>
      </w:pPr>
      <w:r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 </w:t>
      </w:r>
      <w:r w:rsidR="00BD69ED" w:rsidRPr="00BD69ED">
        <w:rPr>
          <w:rFonts w:ascii="Traditional Arabic" w:hAnsi="Traditional Arabic" w:cs="Traditional Arabic"/>
          <w:color w:val="000000"/>
          <w:sz w:val="36"/>
          <w:szCs w:val="36"/>
          <w:rtl/>
        </w:rPr>
        <w:t>ولكن بلاشير لم يستطع التحلل من ميوله التاريخية، فغلبت على الكتاب ظاهرة المبالغة في</w:t>
      </w:r>
      <w:r w:rsidR="00BD69ED" w:rsidRPr="00BD69ED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="00BD69ED" w:rsidRPr="00BD69ED">
        <w:rPr>
          <w:rFonts w:ascii="Traditional Arabic" w:hAnsi="Traditional Arabic" w:cs="Traditional Arabic"/>
          <w:color w:val="000000"/>
          <w:sz w:val="36"/>
          <w:szCs w:val="36"/>
          <w:rtl/>
        </w:rPr>
        <w:t>تكديس المصادر والإيغال في جمع الوثائق والمعلومات وضبط التواريخ</w:t>
      </w:r>
      <w:r w:rsidR="00BD69ED" w:rsidRPr="00BD69ED">
        <w:rPr>
          <w:rFonts w:ascii="Traditional Arabic" w:hAnsi="Traditional Arabic" w:cs="Traditional Arabic"/>
          <w:color w:val="000000"/>
          <w:sz w:val="36"/>
          <w:szCs w:val="36"/>
        </w:rPr>
        <w:t>.</w:t>
      </w:r>
      <w:r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="00BD69ED" w:rsidRPr="00BD69ED">
        <w:rPr>
          <w:rFonts w:ascii="Traditional Arabic" w:hAnsi="Traditional Arabic" w:cs="Traditional Arabic"/>
          <w:color w:val="000000"/>
          <w:sz w:val="36"/>
          <w:szCs w:val="36"/>
          <w:rtl/>
        </w:rPr>
        <w:t>وقد جاء الكتاب في ثلاثة أقسام</w:t>
      </w:r>
      <w:r w:rsidR="00BD69ED" w:rsidRPr="00BD69ED">
        <w:rPr>
          <w:rFonts w:ascii="Traditional Arabic" w:hAnsi="Traditional Arabic" w:cs="Traditional Arabic"/>
          <w:color w:val="000000"/>
          <w:sz w:val="36"/>
          <w:szCs w:val="36"/>
        </w:rPr>
        <w:t>:</w:t>
      </w:r>
      <w:r w:rsidR="00BD69ED" w:rsidRPr="00BD69ED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="00BD69ED" w:rsidRPr="00BD69ED">
        <w:rPr>
          <w:rFonts w:ascii="Traditional Arabic" w:hAnsi="Traditional Arabic" w:cs="Traditional Arabic"/>
          <w:color w:val="000000"/>
          <w:sz w:val="36"/>
          <w:szCs w:val="36"/>
          <w:rtl/>
        </w:rPr>
        <w:t xml:space="preserve">القسم الأول تحدث فيه عن سيطرة العرب على أدب الجزيرة منذ نشوئه إلى نحو عام </w:t>
      </w:r>
      <w:r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>725م</w:t>
      </w:r>
      <w:r w:rsidR="00BD69ED" w:rsidRPr="00BD69ED">
        <w:rPr>
          <w:rFonts w:ascii="Traditional Arabic" w:hAnsi="Traditional Arabic" w:cs="Traditional Arabic"/>
          <w:color w:val="000000"/>
          <w:sz w:val="36"/>
          <w:szCs w:val="36"/>
        </w:rPr>
        <w:t>.</w:t>
      </w:r>
      <w:r w:rsidR="00BD69ED" w:rsidRPr="00BD69ED">
        <w:rPr>
          <w:rFonts w:ascii="Traditional Arabic" w:hAnsi="Traditional Arabic" w:cs="Traditional Arabic"/>
          <w:sz w:val="36"/>
          <w:szCs w:val="36"/>
        </w:rPr>
        <w:br/>
      </w:r>
      <w:r w:rsidR="00BD69ED" w:rsidRPr="00BD69ED">
        <w:rPr>
          <w:rFonts w:ascii="Traditional Arabic" w:hAnsi="Traditional Arabic" w:cs="Traditional Arabic"/>
          <w:color w:val="000000"/>
          <w:sz w:val="36"/>
          <w:szCs w:val="36"/>
          <w:rtl/>
        </w:rPr>
        <w:t>والقسم الثاني تحدث فيه عن النثر المسجوع الموزون (الفواصل في القرآن) والنتائج الثقافية</w:t>
      </w:r>
      <w:r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="00BD69ED" w:rsidRPr="00BD69ED">
        <w:rPr>
          <w:rFonts w:ascii="Traditional Arabic" w:hAnsi="Traditional Arabic" w:cs="Traditional Arabic"/>
          <w:color w:val="000000"/>
          <w:sz w:val="36"/>
          <w:szCs w:val="36"/>
          <w:rtl/>
        </w:rPr>
        <w:t>للظاهرة القرآنية</w:t>
      </w:r>
      <w:r w:rsidR="00BD69ED" w:rsidRPr="00BD69ED">
        <w:rPr>
          <w:rFonts w:ascii="Traditional Arabic" w:hAnsi="Traditional Arabic" w:cs="Traditional Arabic"/>
          <w:color w:val="000000"/>
          <w:sz w:val="36"/>
          <w:szCs w:val="36"/>
        </w:rPr>
        <w:t>.</w:t>
      </w:r>
      <w:r w:rsidR="00BD69ED" w:rsidRPr="00BD69ED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="00BD69ED" w:rsidRPr="00BD69ED">
        <w:rPr>
          <w:rFonts w:ascii="Traditional Arabic" w:hAnsi="Traditional Arabic" w:cs="Traditional Arabic"/>
          <w:color w:val="000000"/>
          <w:sz w:val="36"/>
          <w:szCs w:val="36"/>
          <w:rtl/>
        </w:rPr>
        <w:t>والقسم الثالث تناول فيه الأدب القديم وتحدث فيه عن مكانة الجزيرة العربية وبوادر نهضة</w:t>
      </w:r>
      <w:r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="00BD69ED" w:rsidRPr="00BD69ED">
        <w:rPr>
          <w:rFonts w:ascii="Traditional Arabic" w:hAnsi="Traditional Arabic" w:cs="Traditional Arabic"/>
          <w:color w:val="000000"/>
          <w:sz w:val="36"/>
          <w:szCs w:val="36"/>
          <w:rtl/>
        </w:rPr>
        <w:t>جديدة فيها</w:t>
      </w:r>
      <w:r w:rsidR="00BD69ED" w:rsidRPr="00BD69ED">
        <w:rPr>
          <w:rFonts w:ascii="Traditional Arabic" w:hAnsi="Traditional Arabic" w:cs="Traditional Arabic"/>
          <w:color w:val="000000"/>
          <w:sz w:val="36"/>
          <w:szCs w:val="36"/>
        </w:rPr>
        <w:t>.</w:t>
      </w:r>
      <w:r w:rsidR="00BD69ED" w:rsidRPr="00BD69ED">
        <w:rPr>
          <w:rFonts w:ascii="Traditional Arabic" w:hAnsi="Traditional Arabic" w:cs="Traditional Arabic"/>
          <w:color w:val="000000"/>
          <w:sz w:val="36"/>
          <w:szCs w:val="36"/>
        </w:rPr>
        <w:br/>
      </w:r>
      <w:r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 </w:t>
      </w:r>
      <w:r w:rsidR="00BD69ED" w:rsidRPr="00BD69ED">
        <w:rPr>
          <w:rFonts w:ascii="Traditional Arabic" w:hAnsi="Traditional Arabic" w:cs="Traditional Arabic"/>
          <w:color w:val="000000"/>
          <w:sz w:val="36"/>
          <w:szCs w:val="36"/>
          <w:rtl/>
        </w:rPr>
        <w:t>كان بلاشير أحد الأعلام البارزين في حركة الاستشراق، وقد أسهم في نشر الثقافة العربية</w:t>
      </w:r>
      <w:r w:rsidR="00BD69ED" w:rsidRPr="00BD69ED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="00BD69ED" w:rsidRPr="00BD69ED">
        <w:rPr>
          <w:rFonts w:ascii="Traditional Arabic" w:hAnsi="Traditional Arabic" w:cs="Traditional Arabic"/>
          <w:color w:val="000000"/>
          <w:sz w:val="36"/>
          <w:szCs w:val="36"/>
          <w:rtl/>
        </w:rPr>
        <w:t>الإسلامية في فرنسة، إذ تخرج على يديه نخبة طيّبة من الباحثين في الأدب العربي من العرب</w:t>
      </w:r>
      <w:r w:rsidR="00BD69ED" w:rsidRPr="00BD69ED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="00BD69ED" w:rsidRPr="00BD69ED">
        <w:rPr>
          <w:rFonts w:ascii="Traditional Arabic" w:hAnsi="Traditional Arabic" w:cs="Traditional Arabic"/>
          <w:color w:val="000000"/>
          <w:sz w:val="36"/>
          <w:szCs w:val="36"/>
          <w:rtl/>
        </w:rPr>
        <w:t>والأجانب</w:t>
      </w:r>
      <w:r w:rsidR="00BD69ED" w:rsidRPr="00BD69ED">
        <w:rPr>
          <w:rFonts w:ascii="Traditional Arabic" w:hAnsi="Traditional Arabic" w:cs="Traditional Arabic"/>
          <w:color w:val="000000"/>
          <w:sz w:val="36"/>
          <w:szCs w:val="36"/>
        </w:rPr>
        <w:t>.</w:t>
      </w:r>
      <w:r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="00BD69ED" w:rsidRPr="00BD69ED">
        <w:rPr>
          <w:rFonts w:ascii="Traditional Arabic" w:hAnsi="Traditional Arabic" w:cs="Traditional Arabic"/>
          <w:color w:val="000000"/>
          <w:sz w:val="36"/>
          <w:szCs w:val="36"/>
          <w:rtl/>
        </w:rPr>
        <w:t xml:space="preserve">وقد ساعده في ذلك شغله كرسي اللغة والأدب العربيين في السوربون عشرين عاماً . وكان </w:t>
      </w:r>
      <w:r w:rsidR="00BD69ED" w:rsidRPr="00BD69ED">
        <w:rPr>
          <w:rFonts w:ascii="Traditional Arabic" w:hAnsi="Traditional Arabic" w:cs="Traditional Arabic"/>
          <w:color w:val="000000"/>
          <w:sz w:val="36"/>
          <w:szCs w:val="36"/>
          <w:rtl/>
        </w:rPr>
        <w:lastRenderedPageBreak/>
        <w:t>للرجل</w:t>
      </w:r>
      <w:r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="00BD69ED" w:rsidRPr="00BD69ED">
        <w:rPr>
          <w:rFonts w:ascii="Traditional Arabic" w:hAnsi="Traditional Arabic" w:cs="Traditional Arabic"/>
          <w:color w:val="000000"/>
          <w:sz w:val="36"/>
          <w:szCs w:val="36"/>
          <w:rtl/>
        </w:rPr>
        <w:t>إسهاما في نشر الثقافة العربية ودراستها خارج فرنسا، إذ كان يحاضر في مختلف جامعات العالم في</w:t>
      </w:r>
      <w:r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BD69ED">
        <w:rPr>
          <w:rFonts w:ascii="Traditional Arabic" w:hAnsi="Traditional Arabic" w:cs="Traditional Arabic"/>
          <w:color w:val="000000"/>
          <w:sz w:val="36"/>
          <w:szCs w:val="36"/>
          <w:rtl/>
        </w:rPr>
        <w:t>ذلك</w:t>
      </w:r>
      <w:r w:rsidR="00BD69ED" w:rsidRPr="00BD69ED">
        <w:rPr>
          <w:rFonts w:ascii="Traditional Arabic" w:hAnsi="Traditional Arabic" w:cs="Traditional Arabic"/>
          <w:color w:val="000000"/>
          <w:sz w:val="36"/>
          <w:szCs w:val="36"/>
          <w:rtl/>
        </w:rPr>
        <w:t xml:space="preserve">. وكان بلاشير </w:t>
      </w:r>
      <w:r w:rsidRPr="00BD69ED">
        <w:rPr>
          <w:rFonts w:ascii="Traditional Arabic" w:hAnsi="Traditional Arabic" w:cs="Traditional Arabic"/>
          <w:color w:val="000000"/>
          <w:sz w:val="36"/>
          <w:szCs w:val="36"/>
          <w:rtl/>
        </w:rPr>
        <w:t xml:space="preserve">مرجعا </w:t>
      </w:r>
      <w:r w:rsidR="00BD69ED" w:rsidRPr="00BD69ED">
        <w:rPr>
          <w:rFonts w:ascii="Traditional Arabic" w:hAnsi="Traditional Arabic" w:cs="Traditional Arabic"/>
          <w:color w:val="000000"/>
          <w:sz w:val="36"/>
          <w:szCs w:val="36"/>
          <w:rtl/>
        </w:rPr>
        <w:t>للسياسيين الف</w:t>
      </w:r>
      <w:r>
        <w:rPr>
          <w:rFonts w:ascii="Traditional Arabic" w:hAnsi="Traditional Arabic" w:cs="Traditional Arabic"/>
          <w:color w:val="000000"/>
          <w:sz w:val="36"/>
          <w:szCs w:val="36"/>
          <w:rtl/>
        </w:rPr>
        <w:t>رنسيين في كل ما يختص بالثقافة والمجتمع و</w:t>
      </w:r>
      <w:r w:rsidR="00BD69ED" w:rsidRPr="00BD69ED">
        <w:rPr>
          <w:rFonts w:ascii="Traditional Arabic" w:hAnsi="Traditional Arabic" w:cs="Traditional Arabic"/>
          <w:color w:val="000000"/>
          <w:sz w:val="36"/>
          <w:szCs w:val="36"/>
          <w:rtl/>
        </w:rPr>
        <w:t>السياسة</w:t>
      </w:r>
      <w:r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="00BD69ED" w:rsidRPr="00BD69ED">
        <w:rPr>
          <w:rFonts w:ascii="Traditional Arabic" w:hAnsi="Traditional Arabic" w:cs="Traditional Arabic"/>
          <w:color w:val="000000"/>
          <w:sz w:val="36"/>
          <w:szCs w:val="36"/>
          <w:rtl/>
        </w:rPr>
        <w:t>العربية</w:t>
      </w:r>
    </w:p>
    <w:sectPr w:rsidR="007476D7" w:rsidRPr="000C78D1" w:rsidSect="00447A91">
      <w:footerReference w:type="default" r:id="rId7"/>
      <w:pgSz w:w="11906" w:h="16838"/>
      <w:pgMar w:top="1417" w:right="1417" w:bottom="1417" w:left="1417" w:header="708" w:footer="708" w:gutter="0"/>
      <w:pgBorders w:offsetFrom="page">
        <w:top w:val="single" w:sz="18" w:space="24" w:color="FFFFFF" w:themeColor="background1"/>
        <w:left w:val="single" w:sz="18" w:space="24" w:color="FFFFFF" w:themeColor="background1"/>
        <w:bottom w:val="single" w:sz="18" w:space="24" w:color="FFFFFF" w:themeColor="background1"/>
        <w:right w:val="single" w:sz="18" w:space="24" w:color="FFFFFF" w:themeColor="background1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6F90" w:rsidRDefault="00DB6F90" w:rsidP="00F4730C">
      <w:pPr>
        <w:spacing w:after="0"/>
      </w:pPr>
      <w:r>
        <w:separator/>
      </w:r>
    </w:p>
  </w:endnote>
  <w:endnote w:type="continuationSeparator" w:id="1">
    <w:p w:rsidR="00DB6F90" w:rsidRDefault="00DB6F90" w:rsidP="00F4730C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374699"/>
      <w:docPartObj>
        <w:docPartGallery w:val="Page Numbers (Bottom of Page)"/>
        <w:docPartUnique/>
      </w:docPartObj>
    </w:sdtPr>
    <w:sdtContent>
      <w:p w:rsidR="007F39A6" w:rsidRDefault="001E3362">
        <w:pPr>
          <w:pStyle w:val="Pieddepage"/>
        </w:pPr>
        <w:r>
          <w:rPr>
            <w:noProof/>
            <w:lang w:eastAsia="zh-TW"/>
          </w:rPr>
          <w:pict>
            <v:shapetype id="_x0000_t65" coordsize="21600,21600" o:spt="65" adj="18900" path="m,l,21600@0,21600,21600@0,21600,xem@0,21600nfl@3@5c@7@9@11@13,21600@0e">
              <v:formulas>
                <v:f eqn="val #0"/>
                <v:f eqn="sum 21600 0 @0"/>
                <v:f eqn="prod @1 8481 32768"/>
                <v:f eqn="sum @2 @0 0"/>
                <v:f eqn="prod @1 1117 32768"/>
                <v:f eqn="sum @4 @0 0"/>
                <v:f eqn="prod @1 11764 32768"/>
                <v:f eqn="sum @6 @0 0"/>
                <v:f eqn="prod @1 6144 32768"/>
                <v:f eqn="sum @8 @0 0"/>
                <v:f eqn="prod @1 20480 32768"/>
                <v:f eqn="sum @10 @0 0"/>
                <v:f eqn="prod @1 6144 32768"/>
                <v:f eqn="sum @12 @0 0"/>
              </v:formulas>
              <v:path o:extrusionok="f" gradientshapeok="t" o:connecttype="rect" textboxrect="0,0,21600,@13"/>
              <v:handles>
                <v:h position="#0,bottomRight" xrange="10800,21600"/>
              </v:handles>
              <o:complex v:ext="view"/>
            </v:shapetype>
            <v:shape id="_x0000_s5121" type="#_x0000_t65" style="position:absolute;left:0;text-align:left;margin-left:0;margin-top:664.5pt;width:29pt;height:21.6pt;z-index:251660288;mso-top-percent:70;mso-position-horizontal:left;mso-position-horizontal-relative:right-margin-area;mso-position-vertical-relative:bottom-margin-area;mso-top-percent:70" o:allowincell="f" adj="14135" strokecolor="gray [1629]" strokeweight=".25pt">
              <v:textbox style="mso-next-textbox:#_x0000_s5121">
                <w:txbxContent>
                  <w:p w:rsidR="007F39A6" w:rsidRPr="007F39A6" w:rsidRDefault="001E3362">
                    <w:pPr>
                      <w:jc w:val="center"/>
                      <w:rPr>
                        <w:rFonts w:ascii="Traditional Arabic" w:hAnsi="Traditional Arabic" w:cs="Traditional Arabic"/>
                        <w:b/>
                        <w:bCs/>
                      </w:rPr>
                    </w:pPr>
                    <w:r w:rsidRPr="007F39A6">
                      <w:rPr>
                        <w:rFonts w:ascii="Traditional Arabic" w:hAnsi="Traditional Arabic" w:cs="Traditional Arabic"/>
                        <w:b/>
                        <w:bCs/>
                      </w:rPr>
                      <w:fldChar w:fldCharType="begin"/>
                    </w:r>
                    <w:r w:rsidR="007F39A6" w:rsidRPr="007F39A6">
                      <w:rPr>
                        <w:rFonts w:ascii="Traditional Arabic" w:hAnsi="Traditional Arabic" w:cs="Traditional Arabic"/>
                        <w:b/>
                        <w:bCs/>
                      </w:rPr>
                      <w:instrText xml:space="preserve"> PAGE    \* MERGEFORMAT </w:instrText>
                    </w:r>
                    <w:r w:rsidRPr="007F39A6">
                      <w:rPr>
                        <w:rFonts w:ascii="Traditional Arabic" w:hAnsi="Traditional Arabic" w:cs="Traditional Arabic"/>
                        <w:b/>
                        <w:bCs/>
                      </w:rPr>
                      <w:fldChar w:fldCharType="separate"/>
                    </w:r>
                    <w:r w:rsidR="00447A91">
                      <w:rPr>
                        <w:rFonts w:ascii="Traditional Arabic" w:hAnsi="Traditional Arabic" w:cs="Traditional Arabic"/>
                        <w:b/>
                        <w:bCs/>
                        <w:noProof/>
                      </w:rPr>
                      <w:t>3</w:t>
                    </w:r>
                    <w:r w:rsidRPr="007F39A6">
                      <w:rPr>
                        <w:rFonts w:ascii="Traditional Arabic" w:hAnsi="Traditional Arabic" w:cs="Traditional Arabic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6F90" w:rsidRDefault="00DB6F90" w:rsidP="00F4730C">
      <w:pPr>
        <w:bidi/>
        <w:spacing w:after="0"/>
      </w:pPr>
      <w:r>
        <w:separator/>
      </w:r>
    </w:p>
  </w:footnote>
  <w:footnote w:type="continuationSeparator" w:id="1">
    <w:p w:rsidR="00DB6F90" w:rsidRDefault="00DB6F90" w:rsidP="00F4730C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0242"/>
    <o:shapelayout v:ext="edit">
      <o:idmap v:ext="edit" data="5"/>
    </o:shapelayout>
  </w:hdrShapeDefaults>
  <w:footnotePr>
    <w:footnote w:id="0"/>
    <w:footnote w:id="1"/>
  </w:footnotePr>
  <w:endnotePr>
    <w:endnote w:id="0"/>
    <w:endnote w:id="1"/>
  </w:endnotePr>
  <w:compat/>
  <w:rsids>
    <w:rsidRoot w:val="00E37260"/>
    <w:rsid w:val="000C78D1"/>
    <w:rsid w:val="001E3362"/>
    <w:rsid w:val="001F78B6"/>
    <w:rsid w:val="00447A91"/>
    <w:rsid w:val="007476D7"/>
    <w:rsid w:val="007E7FED"/>
    <w:rsid w:val="007F39A6"/>
    <w:rsid w:val="0089312D"/>
    <w:rsid w:val="00900EB0"/>
    <w:rsid w:val="009507A8"/>
    <w:rsid w:val="009A0CCD"/>
    <w:rsid w:val="009D227B"/>
    <w:rsid w:val="00A1481D"/>
    <w:rsid w:val="00BA5651"/>
    <w:rsid w:val="00BD69ED"/>
    <w:rsid w:val="00C26342"/>
    <w:rsid w:val="00D60AF9"/>
    <w:rsid w:val="00DB6F90"/>
    <w:rsid w:val="00DF506B"/>
    <w:rsid w:val="00E37260"/>
    <w:rsid w:val="00E41C55"/>
    <w:rsid w:val="00E5594E"/>
    <w:rsid w:val="00F4730C"/>
    <w:rsid w:val="00F822EE"/>
    <w:rsid w:val="00FF02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07A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fontstyle01">
    <w:name w:val="fontstyle01"/>
    <w:basedOn w:val="Policepardfaut"/>
    <w:rsid w:val="00F4730C"/>
    <w:rPr>
      <w:rFonts w:ascii="TimesNewRomanPSMT" w:hAnsi="TimesNewRomanPSMT" w:hint="default"/>
      <w:b w:val="0"/>
      <w:bCs w:val="0"/>
      <w:i w:val="0"/>
      <w:iCs w:val="0"/>
      <w:color w:val="000000"/>
      <w:sz w:val="32"/>
      <w:szCs w:val="32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F4730C"/>
    <w:pPr>
      <w:spacing w:after="0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F4730C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F4730C"/>
    <w:rPr>
      <w:vertAlign w:val="superscript"/>
    </w:rPr>
  </w:style>
  <w:style w:type="paragraph" w:styleId="En-tte">
    <w:name w:val="header"/>
    <w:basedOn w:val="Normal"/>
    <w:link w:val="En-tteCar"/>
    <w:uiPriority w:val="99"/>
    <w:semiHidden/>
    <w:unhideWhenUsed/>
    <w:rsid w:val="007F39A6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semiHidden/>
    <w:rsid w:val="007F39A6"/>
  </w:style>
  <w:style w:type="paragraph" w:styleId="Pieddepage">
    <w:name w:val="footer"/>
    <w:basedOn w:val="Normal"/>
    <w:link w:val="PieddepageCar"/>
    <w:uiPriority w:val="99"/>
    <w:semiHidden/>
    <w:unhideWhenUsed/>
    <w:rsid w:val="007F39A6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7F39A6"/>
  </w:style>
  <w:style w:type="character" w:customStyle="1" w:styleId="fontstyle21">
    <w:name w:val="fontstyle21"/>
    <w:basedOn w:val="Policepardfaut"/>
    <w:rsid w:val="00BD69ED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AF628E-5A59-464F-BC6A-15EB25ABB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600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</dc:creator>
  <cp:lastModifiedBy>Sara</cp:lastModifiedBy>
  <cp:revision>9</cp:revision>
  <dcterms:created xsi:type="dcterms:W3CDTF">2024-11-29T17:48:00Z</dcterms:created>
  <dcterms:modified xsi:type="dcterms:W3CDTF">2026-02-11T14:35:00Z</dcterms:modified>
</cp:coreProperties>
</file>