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7A8" w:rsidRPr="00EC4195" w:rsidRDefault="00A83FF4" w:rsidP="00A83FF4">
      <w:pPr>
        <w:bidi/>
        <w:rPr>
          <w:rFonts w:ascii="Traditional Arabic" w:hAnsi="Traditional Arabic" w:cs="Traditional Arabic"/>
          <w:b/>
          <w:bCs/>
          <w:color w:val="984806" w:themeColor="accent6" w:themeShade="80"/>
          <w:sz w:val="36"/>
          <w:szCs w:val="36"/>
          <w:rtl/>
          <w:lang w:bidi="ar-DZ"/>
        </w:rPr>
      </w:pPr>
      <w:r w:rsidRPr="00EC4195">
        <w:rPr>
          <w:rFonts w:ascii="Traditional Arabic" w:hAnsi="Traditional Arabic" w:cs="Traditional Arabic"/>
          <w:b/>
          <w:bCs/>
          <w:color w:val="984806" w:themeColor="accent6" w:themeShade="80"/>
          <w:sz w:val="36"/>
          <w:szCs w:val="36"/>
          <w:rtl/>
          <w:lang w:bidi="ar-DZ"/>
        </w:rPr>
        <w:t>المحاضرة السابعة:</w:t>
      </w:r>
    </w:p>
    <w:p w:rsidR="00A83FF4" w:rsidRPr="00EC4195" w:rsidRDefault="001B4F08" w:rsidP="00A83FF4">
      <w:pPr>
        <w:bidi/>
        <w:rPr>
          <w:rFonts w:ascii="Traditional Arabic" w:hAnsi="Traditional Arabic" w:cs="Traditional Arabic"/>
          <w:b/>
          <w:bCs/>
          <w:color w:val="92D050"/>
          <w:sz w:val="36"/>
          <w:szCs w:val="36"/>
          <w:rtl/>
        </w:rPr>
      </w:pPr>
      <w:r w:rsidRPr="00EC4195">
        <w:rPr>
          <w:rFonts w:ascii="Traditional Arabic" w:hAnsi="Traditional Arabic" w:cs="Traditional Arabic"/>
          <w:b/>
          <w:bCs/>
          <w:color w:val="92D050"/>
          <w:sz w:val="36"/>
          <w:szCs w:val="36"/>
          <w:rtl/>
        </w:rPr>
        <w:t>الاستشراق والشعر الجاهلي؛ غوستاف فون غرونباوم</w:t>
      </w:r>
    </w:p>
    <w:p w:rsidR="001B4F08" w:rsidRPr="00EC4195" w:rsidRDefault="00645094" w:rsidP="00645094">
      <w:pPr>
        <w:bidi/>
        <w:jc w:val="left"/>
        <w:rPr>
          <w:rStyle w:val="fontstyle31"/>
          <w:rFonts w:ascii="Traditional Arabic" w:hAnsi="Traditional Arabic" w:cs="Traditional Arabic"/>
          <w:sz w:val="36"/>
          <w:szCs w:val="36"/>
          <w:rtl/>
        </w:rPr>
      </w:pPr>
      <w:r w:rsidRPr="00EC4195">
        <w:rPr>
          <w:rStyle w:val="fontstyle01"/>
          <w:rtl/>
        </w:rPr>
        <w:t xml:space="preserve">  من أهم الآراء التي ارتبطت بالمستشرقين حول الشعر الجاهلي، هي قضية "الانتحال، </w:t>
      </w:r>
      <w:r w:rsidRPr="00EC4195">
        <w:rPr>
          <w:rStyle w:val="fontstyle01"/>
        </w:rPr>
        <w:t>"</w:t>
      </w:r>
      <w:r w:rsidRPr="00EC4195">
        <w:rPr>
          <w:rStyle w:val="fontstyle01"/>
          <w:rtl/>
        </w:rPr>
        <w:t>وهي قديمة حديثة، تناولها النقاد القدامي، بيد أن المسلك الذي تم تناولها وفق المنظور</w:t>
      </w:r>
      <w:r w:rsidRPr="00EC4195">
        <w:rPr>
          <w:rFonts w:ascii="Traditional Arabic" w:hAnsi="Traditional Arabic" w:cs="Traditional Arabic"/>
          <w:color w:val="000000"/>
          <w:sz w:val="36"/>
          <w:szCs w:val="36"/>
          <w:rtl/>
        </w:rPr>
        <w:t xml:space="preserve"> </w:t>
      </w:r>
      <w:r w:rsidRPr="00EC4195">
        <w:rPr>
          <w:rStyle w:val="fontstyle01"/>
          <w:rtl/>
        </w:rPr>
        <w:t>الاستشراقي فهو يختلف عن مسلك النقد القديم</w:t>
      </w:r>
      <w:r w:rsidRPr="00EC4195">
        <w:rPr>
          <w:rStyle w:val="fontstyle01"/>
        </w:rPr>
        <w:t xml:space="preserve"> .</w:t>
      </w:r>
      <w:r w:rsidRPr="00EC4195">
        <w:rPr>
          <w:rFonts w:ascii="Traditional Arabic" w:hAnsi="Traditional Arabic" w:cs="Traditional Arabic"/>
          <w:color w:val="000000"/>
          <w:sz w:val="36"/>
          <w:szCs w:val="36"/>
        </w:rPr>
        <w:br/>
      </w:r>
      <w:r w:rsidRPr="00EC4195">
        <w:rPr>
          <w:rStyle w:val="fontstyle21"/>
          <w:rtl/>
        </w:rPr>
        <w:t>الانتحال عند المستشرقين</w:t>
      </w:r>
      <w:r w:rsidRPr="00EC4195">
        <w:rPr>
          <w:rStyle w:val="fontstyle21"/>
        </w:rPr>
        <w:t xml:space="preserve"> :</w:t>
      </w:r>
      <w:r w:rsidRPr="00EC4195">
        <w:rPr>
          <w:rFonts w:ascii="Traditional Arabic" w:hAnsi="Traditional Arabic" w:cs="Traditional Arabic"/>
          <w:b/>
          <w:bCs/>
          <w:color w:val="000000"/>
          <w:sz w:val="36"/>
          <w:szCs w:val="36"/>
        </w:rPr>
        <w:br/>
      </w:r>
      <w:r w:rsidRPr="00EC4195">
        <w:rPr>
          <w:rStyle w:val="fontstyle01"/>
          <w:rtl/>
        </w:rPr>
        <w:t xml:space="preserve">  لقد حظي الأدب الجاهلي عامة و الشعر الجاهلي خاصة، بعناية الدارسين من عرب و مستشرقين،</w:t>
      </w:r>
      <w:r w:rsidRPr="00EC4195">
        <w:rPr>
          <w:rFonts w:ascii="Traditional Arabic" w:hAnsi="Traditional Arabic" w:cs="Traditional Arabic"/>
          <w:color w:val="000000"/>
          <w:sz w:val="36"/>
          <w:szCs w:val="36"/>
          <w:rtl/>
        </w:rPr>
        <w:t xml:space="preserve"> </w:t>
      </w:r>
      <w:r w:rsidRPr="00EC4195">
        <w:rPr>
          <w:rStyle w:val="fontstyle01"/>
          <w:rtl/>
        </w:rPr>
        <w:t>فدرس الشعر من شتى جوانبه ، فكان الشعر الجاهلي أّول من تناله سهام الحاقدين من عرب وبالخصوص</w:t>
      </w:r>
      <w:r w:rsidRPr="00EC4195">
        <w:rPr>
          <w:rFonts w:ascii="Traditional Arabic" w:hAnsi="Traditional Arabic" w:cs="Traditional Arabic"/>
          <w:color w:val="000000"/>
          <w:sz w:val="36"/>
          <w:szCs w:val="36"/>
          <w:rtl/>
        </w:rPr>
        <w:t xml:space="preserve"> </w:t>
      </w:r>
      <w:r w:rsidRPr="00EC4195">
        <w:rPr>
          <w:rStyle w:val="fontstyle01"/>
          <w:rtl/>
        </w:rPr>
        <w:t>من المستشرقين ، بغية تحقيق غاية تكمن في النيل من اللغة العربية و من ورائها القرآن الكريم و الدين</w:t>
      </w:r>
      <w:r w:rsidRPr="00EC4195">
        <w:rPr>
          <w:rFonts w:ascii="Traditional Arabic" w:hAnsi="Traditional Arabic" w:cs="Traditional Arabic"/>
          <w:color w:val="000000"/>
          <w:sz w:val="36"/>
          <w:szCs w:val="36"/>
          <w:rtl/>
        </w:rPr>
        <w:t xml:space="preserve"> </w:t>
      </w:r>
      <w:r w:rsidRPr="00EC4195">
        <w:rPr>
          <w:rStyle w:val="fontstyle01"/>
          <w:rtl/>
        </w:rPr>
        <w:t>الإسلامي الحنيف ، ذلك أ ّن "الشعر الجاهلي ليس فنا من الفنون الأدبية فحسب ، بل هو زاد العربية و</w:t>
      </w:r>
      <w:r w:rsidRPr="00EC4195">
        <w:rPr>
          <w:rFonts w:ascii="Traditional Arabic" w:hAnsi="Traditional Arabic" w:cs="Traditional Arabic"/>
          <w:color w:val="000000"/>
          <w:sz w:val="36"/>
          <w:szCs w:val="36"/>
          <w:rtl/>
        </w:rPr>
        <w:t xml:space="preserve"> </w:t>
      </w:r>
      <w:r w:rsidRPr="00EC4195">
        <w:rPr>
          <w:rStyle w:val="fontstyle01"/>
          <w:rtl/>
        </w:rPr>
        <w:t>مادتها ، عليه قامت علوم اللغة و به ف ّسر القرآن الكريم ، وبفضله قّوم اللسان العربي</w:t>
      </w:r>
      <w:r w:rsidRPr="00EC4195">
        <w:rPr>
          <w:rStyle w:val="fontstyle01"/>
        </w:rPr>
        <w:t xml:space="preserve">" </w:t>
      </w:r>
      <w:r w:rsidRPr="00EC4195">
        <w:rPr>
          <w:rStyle w:val="Appelnotedebasdep"/>
          <w:rFonts w:ascii="Traditional Arabic" w:hAnsi="Traditional Arabic" w:cs="Traditional Arabic"/>
          <w:color w:val="000000"/>
          <w:sz w:val="36"/>
          <w:szCs w:val="36"/>
        </w:rPr>
        <w:footnoteReference w:id="2"/>
      </w:r>
      <w:r w:rsidRPr="00EC4195">
        <w:rPr>
          <w:rStyle w:val="fontstyle01"/>
          <w:rtl/>
        </w:rPr>
        <w:t xml:space="preserve"> إذ تستوقفنا الكثير</w:t>
      </w:r>
      <w:r w:rsidRPr="00EC4195">
        <w:rPr>
          <w:rFonts w:ascii="Traditional Arabic" w:hAnsi="Traditional Arabic" w:cs="Traditional Arabic"/>
          <w:color w:val="000000"/>
          <w:sz w:val="36"/>
          <w:szCs w:val="36"/>
          <w:rtl/>
        </w:rPr>
        <w:t xml:space="preserve"> </w:t>
      </w:r>
      <w:r w:rsidRPr="00EC4195">
        <w:rPr>
          <w:rStyle w:val="fontstyle01"/>
          <w:rtl/>
        </w:rPr>
        <w:t>من الكتب التي عّمد أصحابها إلى الأدب العربي دراسة و تأريخا، إضافة إلى تضمينهم في ثناها فصولا</w:t>
      </w:r>
      <w:r w:rsidRPr="00EC4195">
        <w:rPr>
          <w:rFonts w:ascii="Traditional Arabic" w:hAnsi="Traditional Arabic" w:cs="Traditional Arabic"/>
          <w:color w:val="000000"/>
          <w:sz w:val="36"/>
          <w:szCs w:val="36"/>
          <w:rtl/>
        </w:rPr>
        <w:t xml:space="preserve"> </w:t>
      </w:r>
      <w:r w:rsidRPr="00EC4195">
        <w:rPr>
          <w:rStyle w:val="fontstyle01"/>
          <w:rtl/>
        </w:rPr>
        <w:t>ومباحث حول الشعر الجاهلي وأهم شعرائه و كذا قضاياه ، ومن تلك الكتب نذكر</w:t>
      </w:r>
      <w:r w:rsidRPr="00EC4195">
        <w:rPr>
          <w:rStyle w:val="fontstyle01"/>
        </w:rPr>
        <w:t>:</w:t>
      </w:r>
      <w:r w:rsidRPr="00EC4195">
        <w:rPr>
          <w:rFonts w:ascii="Traditional Arabic" w:hAnsi="Traditional Arabic" w:cs="Traditional Arabic"/>
          <w:color w:val="000000"/>
          <w:sz w:val="36"/>
          <w:szCs w:val="36"/>
        </w:rPr>
        <w:br/>
      </w:r>
      <w:r w:rsidRPr="00EC4195">
        <w:rPr>
          <w:rStyle w:val="fontstyle01"/>
        </w:rPr>
        <w:t>-</w:t>
      </w:r>
      <w:r w:rsidRPr="00EC4195">
        <w:rPr>
          <w:rStyle w:val="fontstyle01"/>
          <w:rtl/>
        </w:rPr>
        <w:t xml:space="preserve"> </w:t>
      </w:r>
      <w:r w:rsidRPr="00EC4195">
        <w:rPr>
          <w:rStyle w:val="fontstyle01"/>
        </w:rPr>
        <w:t>"</w:t>
      </w:r>
      <w:r w:rsidRPr="00EC4195">
        <w:rPr>
          <w:rStyle w:val="fontstyle01"/>
          <w:rtl/>
        </w:rPr>
        <w:t>تاريخ الأدب العربي، بأجزائه الخمسة</w:t>
      </w:r>
      <w:r w:rsidRPr="00EC4195">
        <w:rPr>
          <w:rStyle w:val="fontstyle01"/>
        </w:rPr>
        <w:t xml:space="preserve"> </w:t>
      </w:r>
      <w:r w:rsidRPr="00EC4195">
        <w:rPr>
          <w:rStyle w:val="Appelnotedebasdep"/>
          <w:rFonts w:ascii="Traditional Arabic" w:hAnsi="Traditional Arabic" w:cs="Traditional Arabic"/>
          <w:color w:val="000000"/>
          <w:sz w:val="36"/>
          <w:szCs w:val="36"/>
        </w:rPr>
        <w:footnoteReference w:id="3"/>
      </w:r>
      <w:r w:rsidRPr="00EC4195">
        <w:rPr>
          <w:rStyle w:val="fontstyle01"/>
        </w:rPr>
        <w:t xml:space="preserve">" </w:t>
      </w:r>
      <w:r w:rsidRPr="00EC4195">
        <w:rPr>
          <w:rStyle w:val="fontstyle01"/>
          <w:rtl/>
        </w:rPr>
        <w:t xml:space="preserve">للمستشرق الألماني كارل بروكلمان </w:t>
      </w:r>
      <w:r w:rsidRPr="00EC4195">
        <w:rPr>
          <w:rStyle w:val="fontstyle31"/>
          <w:rFonts w:ascii="Traditional Arabic" w:hAnsi="Traditional Arabic" w:cs="Traditional Arabic"/>
          <w:sz w:val="36"/>
          <w:szCs w:val="36"/>
        </w:rPr>
        <w:t>Carl</w:t>
      </w:r>
      <w:r w:rsidRPr="00EC4195">
        <w:rPr>
          <w:rFonts w:ascii="Traditional Arabic" w:hAnsi="Traditional Arabic" w:cs="Traditional Arabic"/>
          <w:color w:val="000000"/>
          <w:sz w:val="36"/>
          <w:szCs w:val="36"/>
        </w:rPr>
        <w:br/>
      </w:r>
      <w:r w:rsidRPr="00EC4195">
        <w:rPr>
          <w:rStyle w:val="fontstyle01"/>
        </w:rPr>
        <w:t xml:space="preserve">. </w:t>
      </w:r>
      <w:r w:rsidRPr="00EC4195">
        <w:rPr>
          <w:rStyle w:val="fontstyle31"/>
          <w:rFonts w:ascii="Traditional Arabic" w:hAnsi="Traditional Arabic" w:cs="Traditional Arabic"/>
          <w:sz w:val="36"/>
          <w:szCs w:val="36"/>
        </w:rPr>
        <w:t>Brokelman</w:t>
      </w:r>
      <w:r w:rsidRPr="00EC4195">
        <w:rPr>
          <w:rStyle w:val="fontstyle31"/>
          <w:rFonts w:ascii="Traditional Arabic" w:hAnsi="Traditional Arabic" w:cs="Traditional Arabic"/>
          <w:sz w:val="36"/>
          <w:szCs w:val="36"/>
          <w:rtl/>
        </w:rPr>
        <w:t xml:space="preserve"> </w:t>
      </w:r>
    </w:p>
    <w:p w:rsidR="00645094" w:rsidRPr="00EC4195" w:rsidRDefault="00645094" w:rsidP="00645094">
      <w:pPr>
        <w:bidi/>
        <w:jc w:val="left"/>
        <w:rPr>
          <w:rFonts w:ascii="Traditional Arabic" w:hAnsi="Traditional Arabic" w:cs="Traditional Arabic"/>
          <w:color w:val="000000"/>
          <w:sz w:val="36"/>
          <w:szCs w:val="36"/>
          <w:rtl/>
        </w:rPr>
      </w:pPr>
      <w:r w:rsidRPr="00EC4195">
        <w:rPr>
          <w:rFonts w:ascii="Traditional Arabic" w:hAnsi="Traditional Arabic" w:cs="Traditional Arabic"/>
          <w:color w:val="000000"/>
          <w:sz w:val="36"/>
          <w:szCs w:val="36"/>
          <w:rtl/>
        </w:rPr>
        <w:t xml:space="preserve">- </w:t>
      </w:r>
      <w:r w:rsidRPr="00EC4195">
        <w:rPr>
          <w:rFonts w:ascii="Traditional Arabic" w:hAnsi="Traditional Arabic" w:cs="Traditional Arabic"/>
          <w:color w:val="000000"/>
          <w:sz w:val="36"/>
          <w:szCs w:val="36"/>
        </w:rPr>
        <w:t>"</w:t>
      </w:r>
      <w:r w:rsidRPr="00EC4195">
        <w:rPr>
          <w:rFonts w:ascii="Traditional Arabic" w:hAnsi="Traditional Arabic" w:cs="Traditional Arabic"/>
          <w:color w:val="000000"/>
          <w:sz w:val="36"/>
          <w:szCs w:val="36"/>
          <w:rtl/>
        </w:rPr>
        <w:t>تاريخ الأدب منذ البداية حتى نهاية القرن الخامس عشر" ، للمستشرق الفرنسي ريجيس</w:t>
      </w:r>
      <w:r w:rsidRPr="00EC4195">
        <w:rPr>
          <w:rFonts w:ascii="Traditional Arabic" w:hAnsi="Traditional Arabic" w:cs="Traditional Arabic"/>
          <w:color w:val="000000"/>
          <w:sz w:val="36"/>
          <w:szCs w:val="36"/>
        </w:rPr>
        <w:br/>
      </w:r>
      <w:r w:rsidRPr="00EC4195">
        <w:rPr>
          <w:rFonts w:ascii="Traditional Arabic" w:hAnsi="Traditional Arabic" w:cs="Traditional Arabic"/>
          <w:color w:val="000000"/>
          <w:sz w:val="36"/>
          <w:szCs w:val="36"/>
          <w:rtl/>
        </w:rPr>
        <w:t xml:space="preserve">بلاشير </w:t>
      </w:r>
      <w:r w:rsidRPr="00EC4195">
        <w:rPr>
          <w:rFonts w:ascii="Traditional Arabic" w:hAnsi="Traditional Arabic" w:cs="Traditional Arabic"/>
          <w:color w:val="000000"/>
          <w:sz w:val="36"/>
          <w:szCs w:val="36"/>
        </w:rPr>
        <w:t>Regis Blachere</w:t>
      </w:r>
      <w:r w:rsidRPr="00EC4195">
        <w:rPr>
          <w:rFonts w:ascii="Traditional Arabic" w:hAnsi="Traditional Arabic" w:cs="Traditional Arabic"/>
          <w:color w:val="000000"/>
          <w:sz w:val="36"/>
          <w:szCs w:val="36"/>
          <w:rtl/>
        </w:rPr>
        <w:t xml:space="preserve"> ت 1973، توفي دون أن يتّمه ، وقد ظهر منه ثلاثة أجزاء تنتهي عند 120ه، 427م"</w:t>
      </w:r>
      <w:r w:rsidRPr="00EC4195">
        <w:rPr>
          <w:rStyle w:val="Appelnotedebasdep"/>
          <w:rFonts w:ascii="Traditional Arabic" w:hAnsi="Traditional Arabic" w:cs="Traditional Arabic"/>
          <w:color w:val="000000"/>
          <w:sz w:val="36"/>
          <w:szCs w:val="36"/>
          <w:rtl/>
        </w:rPr>
        <w:footnoteReference w:id="4"/>
      </w:r>
      <w:r w:rsidR="00676B53" w:rsidRPr="00EC4195">
        <w:rPr>
          <w:rFonts w:ascii="Traditional Arabic" w:hAnsi="Traditional Arabic" w:cs="Traditional Arabic"/>
          <w:color w:val="000000"/>
          <w:sz w:val="36"/>
          <w:szCs w:val="36"/>
          <w:rtl/>
        </w:rPr>
        <w:t>.</w:t>
      </w:r>
    </w:p>
    <w:p w:rsidR="00676B53" w:rsidRPr="00EC4195" w:rsidRDefault="00676B53" w:rsidP="00B87085">
      <w:pPr>
        <w:bidi/>
        <w:jc w:val="left"/>
        <w:rPr>
          <w:rFonts w:ascii="Traditional Arabic" w:hAnsi="Traditional Arabic" w:cs="Traditional Arabic"/>
          <w:color w:val="000000"/>
          <w:sz w:val="36"/>
          <w:szCs w:val="36"/>
          <w:rtl/>
        </w:rPr>
      </w:pPr>
      <w:r w:rsidRPr="00EC4195">
        <w:rPr>
          <w:rFonts w:ascii="Traditional Arabic" w:hAnsi="Traditional Arabic" w:cs="Traditional Arabic"/>
          <w:color w:val="000000"/>
          <w:sz w:val="36"/>
          <w:szCs w:val="36"/>
          <w:rtl/>
        </w:rPr>
        <w:lastRenderedPageBreak/>
        <w:t xml:space="preserve">- </w:t>
      </w:r>
      <w:r w:rsidRPr="00EC4195">
        <w:rPr>
          <w:rFonts w:ascii="Traditional Arabic" w:hAnsi="Traditional Arabic" w:cs="Traditional Arabic"/>
          <w:color w:val="000000"/>
          <w:sz w:val="36"/>
          <w:szCs w:val="36"/>
        </w:rPr>
        <w:t>"</w:t>
      </w:r>
      <w:r w:rsidRPr="00EC4195">
        <w:rPr>
          <w:rFonts w:ascii="Traditional Arabic" w:hAnsi="Traditional Arabic" w:cs="Traditional Arabic"/>
          <w:color w:val="000000"/>
          <w:sz w:val="36"/>
          <w:szCs w:val="36"/>
          <w:rtl/>
        </w:rPr>
        <w:t>تاريخ اللغة و الآداب العربية " ، للمستشرق الفرنسي شارل بّلا</w:t>
      </w:r>
      <w:r w:rsidRPr="00EC4195">
        <w:rPr>
          <w:rFonts w:ascii="Traditional Arabic" w:hAnsi="Traditional Arabic" w:cs="Traditional Arabic"/>
          <w:color w:val="000000"/>
          <w:sz w:val="36"/>
          <w:szCs w:val="36"/>
        </w:rPr>
        <w:t xml:space="preserve"> " Charles Pellat</w:t>
      </w:r>
      <w:r w:rsidRPr="00EC4195">
        <w:rPr>
          <w:rFonts w:ascii="Traditional Arabic" w:hAnsi="Traditional Arabic" w:cs="Traditional Arabic"/>
          <w:color w:val="000000"/>
          <w:sz w:val="36"/>
          <w:szCs w:val="36"/>
          <w:rtl/>
        </w:rPr>
        <w:t>الذي</w:t>
      </w:r>
      <w:r w:rsidRPr="00EC4195">
        <w:rPr>
          <w:rFonts w:ascii="Traditional Arabic" w:hAnsi="Traditional Arabic" w:cs="Traditional Arabic"/>
          <w:color w:val="000000"/>
          <w:sz w:val="36"/>
          <w:szCs w:val="36"/>
        </w:rPr>
        <w:br/>
      </w:r>
      <w:r w:rsidRPr="00EC4195">
        <w:rPr>
          <w:rFonts w:ascii="Traditional Arabic" w:hAnsi="Traditional Arabic" w:cs="Traditional Arabic"/>
          <w:color w:val="000000"/>
          <w:sz w:val="36"/>
          <w:szCs w:val="36"/>
          <w:rtl/>
        </w:rPr>
        <w:t>عنى خصوصا بالجاحظ</w:t>
      </w:r>
      <w:r w:rsidR="00B87085">
        <w:rPr>
          <w:rFonts w:ascii="Traditional Arabic" w:hAnsi="Traditional Arabic" w:cs="Traditional Arabic" w:hint="cs"/>
          <w:color w:val="000000"/>
          <w:sz w:val="36"/>
          <w:szCs w:val="36"/>
          <w:rtl/>
        </w:rPr>
        <w:t>"</w:t>
      </w:r>
      <w:r w:rsidR="00B87085">
        <w:rPr>
          <w:rStyle w:val="Appelnotedebasdep"/>
          <w:rFonts w:ascii="Traditional Arabic" w:hAnsi="Traditional Arabic" w:cs="Traditional Arabic"/>
          <w:color w:val="000000"/>
          <w:sz w:val="36"/>
          <w:szCs w:val="36"/>
          <w:rtl/>
        </w:rPr>
        <w:footnoteReference w:id="5"/>
      </w:r>
      <w:r w:rsidR="00B87085">
        <w:rPr>
          <w:rFonts w:ascii="Traditional Arabic" w:hAnsi="Traditional Arabic" w:cs="Traditional Arabic"/>
          <w:color w:val="000000"/>
          <w:sz w:val="36"/>
          <w:szCs w:val="36"/>
        </w:rPr>
        <w:t xml:space="preserve"> </w:t>
      </w:r>
      <w:r w:rsidRPr="00EC4195">
        <w:rPr>
          <w:rFonts w:ascii="Traditional Arabic" w:hAnsi="Traditional Arabic" w:cs="Traditional Arabic"/>
          <w:color w:val="000000"/>
          <w:sz w:val="36"/>
          <w:szCs w:val="36"/>
          <w:rtl/>
        </w:rPr>
        <w:t>فكَّرس له شهادتي دكتوراه و الكبرى منها عنوانها : الوسط العلمي في البصرة وتنشئة الجاحظ</w:t>
      </w:r>
      <w:r w:rsidRPr="00EC4195">
        <w:rPr>
          <w:rFonts w:ascii="Traditional Arabic" w:hAnsi="Traditional Arabic" w:cs="Traditional Arabic"/>
          <w:color w:val="000000"/>
          <w:sz w:val="36"/>
          <w:szCs w:val="36"/>
        </w:rPr>
        <w:t xml:space="preserve"> .</w:t>
      </w:r>
      <w:r w:rsidRPr="00EC4195">
        <w:rPr>
          <w:rFonts w:ascii="Traditional Arabic" w:hAnsi="Traditional Arabic" w:cs="Traditional Arabic"/>
          <w:color w:val="000000"/>
          <w:sz w:val="36"/>
          <w:szCs w:val="36"/>
        </w:rPr>
        <w:br/>
        <w:t xml:space="preserve">"-  </w:t>
      </w:r>
      <w:r w:rsidRPr="00EC4195">
        <w:rPr>
          <w:rFonts w:ascii="Traditional Arabic" w:hAnsi="Traditional Arabic" w:cs="Traditional Arabic"/>
          <w:color w:val="000000"/>
          <w:sz w:val="36"/>
          <w:szCs w:val="36"/>
          <w:rtl/>
        </w:rPr>
        <w:t xml:space="preserve">الأدب العربي "، للمستشرق البريطاني المولود بالإسكندرية ، هاملتون جب </w:t>
      </w:r>
      <w:r w:rsidRPr="00EC4195">
        <w:rPr>
          <w:rFonts w:ascii="Traditional Arabic" w:hAnsi="Traditional Arabic" w:cs="Traditional Arabic"/>
          <w:color w:val="000000"/>
          <w:sz w:val="36"/>
          <w:szCs w:val="36"/>
        </w:rPr>
        <w:t>Hamilton</w:t>
      </w:r>
      <w:r w:rsidRPr="00EC4195">
        <w:rPr>
          <w:rFonts w:ascii="Traditional Arabic" w:hAnsi="Traditional Arabic" w:cs="Traditional Arabic"/>
          <w:color w:val="000000"/>
          <w:sz w:val="36"/>
          <w:szCs w:val="36"/>
        </w:rPr>
        <w:br/>
        <w:t xml:space="preserve"> </w:t>
      </w:r>
      <w:r w:rsidRPr="00EC4195">
        <w:rPr>
          <w:rFonts w:ascii="Traditional Arabic" w:hAnsi="Traditional Arabic" w:cs="Traditional Arabic"/>
          <w:color w:val="000000"/>
          <w:sz w:val="36"/>
          <w:szCs w:val="36"/>
          <w:rtl/>
        </w:rPr>
        <w:t xml:space="preserve"> </w:t>
      </w:r>
      <w:r w:rsidRPr="00EC4195">
        <w:rPr>
          <w:rFonts w:ascii="Traditional Arabic" w:hAnsi="Traditional Arabic" w:cs="Traditional Arabic"/>
          <w:color w:val="000000"/>
          <w:sz w:val="36"/>
          <w:szCs w:val="36"/>
        </w:rPr>
        <w:t>Alexander Roskeen Gibb</w:t>
      </w:r>
      <w:r w:rsidRPr="00EC4195">
        <w:rPr>
          <w:rFonts w:ascii="Traditional Arabic" w:hAnsi="Traditional Arabic" w:cs="Traditional Arabic"/>
          <w:color w:val="000000"/>
          <w:sz w:val="36"/>
          <w:szCs w:val="36"/>
          <w:rtl/>
        </w:rPr>
        <w:t xml:space="preserve"> "وهو كتيّب قصد به إلى القراء الإنجليز. وقد أعاد طبعه منقحا في 1963"</w:t>
      </w:r>
      <w:r w:rsidRPr="00EC4195">
        <w:rPr>
          <w:rStyle w:val="Appelnotedebasdep"/>
          <w:rFonts w:ascii="Traditional Arabic" w:hAnsi="Traditional Arabic" w:cs="Traditional Arabic"/>
          <w:color w:val="000000"/>
          <w:sz w:val="36"/>
          <w:szCs w:val="36"/>
          <w:rtl/>
        </w:rPr>
        <w:footnoteReference w:id="6"/>
      </w:r>
      <w:r w:rsidR="00630F59" w:rsidRPr="00EC4195">
        <w:rPr>
          <w:rFonts w:ascii="Traditional Arabic" w:hAnsi="Traditional Arabic" w:cs="Traditional Arabic"/>
          <w:color w:val="000000"/>
          <w:sz w:val="36"/>
          <w:szCs w:val="36"/>
          <w:rtl/>
        </w:rPr>
        <w:t>، حيث قسم فيه جب العصور تقسيما جديدا، فيصف عص</w:t>
      </w:r>
      <w:r w:rsidR="00EC4195">
        <w:rPr>
          <w:rFonts w:ascii="Traditional Arabic" w:hAnsi="Traditional Arabic" w:cs="Traditional Arabic"/>
          <w:color w:val="000000"/>
          <w:sz w:val="36"/>
          <w:szCs w:val="36"/>
          <w:rtl/>
        </w:rPr>
        <w:t>ر ما قبل الإسلام</w:t>
      </w:r>
      <w:r w:rsidR="00EC4195">
        <w:rPr>
          <w:rFonts w:ascii="Traditional Arabic" w:hAnsi="Traditional Arabic" w:cs="Traditional Arabic" w:hint="cs"/>
          <w:color w:val="000000"/>
          <w:sz w:val="36"/>
          <w:szCs w:val="36"/>
          <w:rtl/>
        </w:rPr>
        <w:t xml:space="preserve"> </w:t>
      </w:r>
      <w:r w:rsidR="00630F59" w:rsidRPr="00EC4195">
        <w:rPr>
          <w:rFonts w:ascii="Traditional Arabic" w:hAnsi="Traditional Arabic" w:cs="Traditional Arabic"/>
          <w:color w:val="000000"/>
          <w:sz w:val="36"/>
          <w:szCs w:val="36"/>
          <w:rtl/>
        </w:rPr>
        <w:t>بالعصر البطولي، أما عصر صدر الإسلام فيطلق عليه عصر ا</w:t>
      </w:r>
      <w:r w:rsidR="00EC4195">
        <w:rPr>
          <w:rFonts w:ascii="Traditional Arabic" w:hAnsi="Traditional Arabic" w:cs="Traditional Arabic"/>
          <w:color w:val="000000"/>
          <w:sz w:val="36"/>
          <w:szCs w:val="36"/>
          <w:rtl/>
        </w:rPr>
        <w:t>لتوسع بحيث يعتبره امتدادا للعصر</w:t>
      </w:r>
      <w:r w:rsidR="00EC4195">
        <w:rPr>
          <w:rFonts w:ascii="Traditional Arabic" w:hAnsi="Traditional Arabic" w:cs="Traditional Arabic" w:hint="cs"/>
          <w:color w:val="000000"/>
          <w:sz w:val="36"/>
          <w:szCs w:val="36"/>
          <w:rtl/>
        </w:rPr>
        <w:t xml:space="preserve"> </w:t>
      </w:r>
      <w:r w:rsidR="00630F59" w:rsidRPr="00EC4195">
        <w:rPr>
          <w:rFonts w:ascii="Traditional Arabic" w:hAnsi="Traditional Arabic" w:cs="Traditional Arabic"/>
          <w:color w:val="000000"/>
          <w:sz w:val="36"/>
          <w:szCs w:val="36"/>
          <w:rtl/>
        </w:rPr>
        <w:t>البطولي.</w:t>
      </w:r>
    </w:p>
    <w:p w:rsidR="00630F59" w:rsidRPr="00EC4195" w:rsidRDefault="00630F59" w:rsidP="00EC4195">
      <w:pPr>
        <w:bidi/>
        <w:jc w:val="left"/>
        <w:rPr>
          <w:rFonts w:ascii="Traditional Arabic" w:hAnsi="Traditional Arabic" w:cs="Traditional Arabic"/>
          <w:b/>
          <w:bCs/>
          <w:color w:val="984806" w:themeColor="accent6" w:themeShade="80"/>
          <w:sz w:val="36"/>
          <w:szCs w:val="36"/>
          <w:lang w:bidi="ar-DZ"/>
        </w:rPr>
      </w:pPr>
      <w:r w:rsidRPr="00EC4195">
        <w:rPr>
          <w:rFonts w:ascii="Traditional Arabic" w:hAnsi="Traditional Arabic" w:cs="Traditional Arabic"/>
          <w:color w:val="000000"/>
          <w:sz w:val="36"/>
          <w:szCs w:val="36"/>
          <w:rtl/>
        </w:rPr>
        <w:t xml:space="preserve">  تباينت آراء المستشرقين حول قضية الانتحال في الـــشعر الجاهلي ، بين الإنصاف و الاعتدال ، و</w:t>
      </w:r>
      <w:r w:rsidRPr="00EC4195">
        <w:rPr>
          <w:rFonts w:ascii="Traditional Arabic" w:hAnsi="Traditional Arabic" w:cs="Traditional Arabic"/>
          <w:color w:val="000000"/>
          <w:sz w:val="36"/>
          <w:szCs w:val="36"/>
        </w:rPr>
        <w:br/>
      </w:r>
      <w:r w:rsidRPr="00EC4195">
        <w:rPr>
          <w:rFonts w:ascii="Traditional Arabic" w:hAnsi="Traditional Arabic" w:cs="Traditional Arabic"/>
          <w:color w:val="000000"/>
          <w:sz w:val="36"/>
          <w:szCs w:val="36"/>
          <w:rtl/>
        </w:rPr>
        <w:t>بين المغالاة و الإجحاف ، فقد قامت دراسات كثيرة وحققت عديد النصوص وأشبعت بالموضوعات و</w:t>
      </w:r>
      <w:r w:rsidR="00EC4195">
        <w:rPr>
          <w:rFonts w:ascii="Traditional Arabic" w:hAnsi="Traditional Arabic" w:cs="Traditional Arabic"/>
          <w:color w:val="000000"/>
          <w:sz w:val="36"/>
          <w:szCs w:val="36"/>
          <w:rtl/>
        </w:rPr>
        <w:t>الآراء</w:t>
      </w:r>
      <w:r w:rsidRPr="00EC4195">
        <w:rPr>
          <w:rFonts w:ascii="Traditional Arabic" w:hAnsi="Traditional Arabic" w:cs="Traditional Arabic"/>
          <w:color w:val="000000"/>
          <w:sz w:val="36"/>
          <w:szCs w:val="36"/>
          <w:rtl/>
        </w:rPr>
        <w:t>،كل يريد إثبات وجهة نظره حولها</w:t>
      </w:r>
      <w:r w:rsidRPr="00EC4195">
        <w:rPr>
          <w:rFonts w:ascii="Traditional Arabic" w:hAnsi="Traditional Arabic" w:cs="Traditional Arabic"/>
          <w:color w:val="000000"/>
          <w:sz w:val="36"/>
          <w:szCs w:val="36"/>
        </w:rPr>
        <w:t xml:space="preserve"> .</w:t>
      </w:r>
      <w:r w:rsidRPr="00EC4195">
        <w:rPr>
          <w:rFonts w:ascii="Traditional Arabic" w:hAnsi="Traditional Arabic" w:cs="Traditional Arabic"/>
          <w:color w:val="000000"/>
          <w:sz w:val="36"/>
          <w:szCs w:val="36"/>
        </w:rPr>
        <w:br/>
      </w:r>
      <w:r w:rsidR="00EC4195">
        <w:rPr>
          <w:rFonts w:ascii="Traditional Arabic" w:hAnsi="Traditional Arabic" w:cs="Traditional Arabic" w:hint="cs"/>
          <w:color w:val="000000"/>
          <w:sz w:val="36"/>
          <w:szCs w:val="36"/>
          <w:rtl/>
        </w:rPr>
        <w:t xml:space="preserve">  </w:t>
      </w:r>
      <w:r w:rsidRPr="00EC4195">
        <w:rPr>
          <w:rFonts w:ascii="Traditional Arabic" w:hAnsi="Traditional Arabic" w:cs="Traditional Arabic"/>
          <w:color w:val="000000"/>
          <w:sz w:val="36"/>
          <w:szCs w:val="36"/>
          <w:rtl/>
        </w:rPr>
        <w:t>ومن أّول الدراسات التي ظهرت و أثارت الانتحال والشك في الشعر الجاهلي بحث نولدكه</w:t>
      </w:r>
      <w:r w:rsidRPr="00EC4195">
        <w:rPr>
          <w:rFonts w:ascii="Traditional Arabic" w:hAnsi="Traditional Arabic" w:cs="Traditional Arabic"/>
          <w:color w:val="000000"/>
          <w:sz w:val="36"/>
          <w:szCs w:val="36"/>
        </w:rPr>
        <w:br/>
      </w:r>
      <w:r w:rsidRPr="00EC4195">
        <w:rPr>
          <w:rStyle w:val="Appelnotedebasdep"/>
          <w:rFonts w:ascii="Traditional Arabic" w:hAnsi="Traditional Arabic" w:cs="Traditional Arabic"/>
          <w:color w:val="000000"/>
          <w:sz w:val="36"/>
          <w:szCs w:val="36"/>
        </w:rPr>
        <w:footnoteReference w:id="7"/>
      </w:r>
      <w:r w:rsidRPr="00EC4195">
        <w:rPr>
          <w:rFonts w:ascii="Traditional Arabic" w:hAnsi="Traditional Arabic" w:cs="Traditional Arabic"/>
          <w:color w:val="000000"/>
          <w:sz w:val="36"/>
          <w:szCs w:val="36"/>
        </w:rPr>
        <w:t>Theodor Noldeke</w:t>
      </w:r>
      <w:r w:rsidRPr="00EC4195">
        <w:rPr>
          <w:rFonts w:ascii="Traditional Arabic" w:hAnsi="Traditional Arabic" w:cs="Traditional Arabic"/>
          <w:color w:val="000000"/>
          <w:sz w:val="36"/>
          <w:szCs w:val="36"/>
          <w:rtl/>
        </w:rPr>
        <w:t xml:space="preserve"> سنة 1864 بعنوان، في سبيل فهم الشعر الجاهلي، فقد تطّرق نولدكه فيه إلى الكثير من الموضوعات ، التي تتناول الشعر الجاهلي من تكُّونه إلى طبيعته فبدايته وصوله إلى العصر العباسي وحفظه كما لاحظ نولدكه أيضا في بحثه هذا أن بعض الرواة في العصر الأموي ، قد سلكوا مسلكا يتّسم بالاستهتار وعدم المسؤولية ومثّل لهؤلاء بحماد الراوية ، كما أنّه نفى أيضا صحة الشعر الجاهلي في جل قصائده بحجة أن لا ذكَر للدين الجاهلي فيه، ذلك أن آلهة العرب القديمة قد ذكرت في أبيات قليلة جدا ، لينهي نولدكه بحثه عن الشعر الجاهلي مبيّنا قيمته و قوته و روعته و بـْعَد أثره ، قائلا</w:t>
      </w:r>
      <w:r w:rsidRPr="00EC4195">
        <w:rPr>
          <w:rFonts w:ascii="Traditional Arabic" w:hAnsi="Traditional Arabic" w:cs="Traditional Arabic"/>
          <w:color w:val="000000"/>
          <w:sz w:val="36"/>
          <w:szCs w:val="36"/>
        </w:rPr>
        <w:t xml:space="preserve"> :</w:t>
      </w:r>
      <w:r w:rsidR="00EC4195">
        <w:rPr>
          <w:rFonts w:ascii="Traditional Arabic" w:hAnsi="Traditional Arabic" w:cs="Traditional Arabic" w:hint="cs"/>
          <w:color w:val="000000"/>
          <w:sz w:val="36"/>
          <w:szCs w:val="36"/>
          <w:rtl/>
        </w:rPr>
        <w:t>"</w:t>
      </w:r>
      <w:r w:rsidRPr="00EC4195">
        <w:rPr>
          <w:rFonts w:ascii="Traditional Arabic" w:hAnsi="Traditional Arabic" w:cs="Traditional Arabic"/>
          <w:color w:val="000000"/>
          <w:sz w:val="36"/>
          <w:szCs w:val="36"/>
          <w:rtl/>
        </w:rPr>
        <w:t>ومهما تعرضت له روايته من اضطراب ، فإنه تفوح من هذه الشذرات روح منعشة تدل على أن قوة الشعر</w:t>
      </w:r>
      <w:r w:rsidR="00EC4195">
        <w:rPr>
          <w:rFonts w:ascii="Traditional Arabic" w:hAnsi="Traditional Arabic" w:cs="Traditional Arabic" w:hint="cs"/>
          <w:color w:val="000000"/>
          <w:sz w:val="36"/>
          <w:szCs w:val="36"/>
          <w:rtl/>
        </w:rPr>
        <w:t xml:space="preserve"> </w:t>
      </w:r>
      <w:r w:rsidRPr="00EC4195">
        <w:rPr>
          <w:rFonts w:ascii="Traditional Arabic" w:hAnsi="Traditional Arabic" w:cs="Traditional Arabic"/>
          <w:color w:val="000000"/>
          <w:sz w:val="36"/>
          <w:szCs w:val="36"/>
          <w:rtl/>
        </w:rPr>
        <w:t>البدوي و جماله لم يضيعا</w:t>
      </w:r>
      <w:r w:rsidRPr="00EC4195">
        <w:rPr>
          <w:rFonts w:ascii="Traditional Arabic" w:hAnsi="Traditional Arabic" w:cs="Traditional Arabic"/>
          <w:color w:val="000000"/>
          <w:sz w:val="36"/>
          <w:szCs w:val="36"/>
        </w:rPr>
        <w:t xml:space="preserve"> </w:t>
      </w:r>
      <w:r w:rsidRPr="00EC4195">
        <w:rPr>
          <w:rStyle w:val="Appelnotedebasdep"/>
          <w:rFonts w:ascii="Traditional Arabic" w:hAnsi="Traditional Arabic" w:cs="Traditional Arabic"/>
          <w:color w:val="000000"/>
          <w:sz w:val="36"/>
          <w:szCs w:val="36"/>
        </w:rPr>
        <w:footnoteReference w:id="8"/>
      </w:r>
      <w:r w:rsidRPr="00EC4195">
        <w:rPr>
          <w:rFonts w:ascii="Traditional Arabic" w:hAnsi="Traditional Arabic" w:cs="Traditional Arabic"/>
          <w:color w:val="000000"/>
          <w:sz w:val="36"/>
          <w:szCs w:val="36"/>
        </w:rPr>
        <w:t>"</w:t>
      </w:r>
      <w:r w:rsidRPr="00EC4195">
        <w:rPr>
          <w:rFonts w:ascii="Traditional Arabic" w:hAnsi="Traditional Arabic" w:cs="Traditional Arabic"/>
          <w:color w:val="000000"/>
          <w:sz w:val="36"/>
          <w:szCs w:val="36"/>
          <w:rtl/>
        </w:rPr>
        <w:t>وفي 1872</w:t>
      </w:r>
      <w:r w:rsidR="00EC4195">
        <w:rPr>
          <w:rFonts w:ascii="Traditional Arabic" w:hAnsi="Traditional Arabic" w:cs="Traditional Arabic"/>
          <w:color w:val="000000"/>
          <w:sz w:val="36"/>
          <w:szCs w:val="36"/>
          <w:rtl/>
        </w:rPr>
        <w:t xml:space="preserve"> يصدر المستشرق الألماني الآخر</w:t>
      </w:r>
      <w:r w:rsidR="00EC4195">
        <w:rPr>
          <w:rFonts w:ascii="Traditional Arabic" w:hAnsi="Traditional Arabic" w:cs="Traditional Arabic" w:hint="cs"/>
          <w:color w:val="000000"/>
          <w:sz w:val="36"/>
          <w:szCs w:val="36"/>
          <w:rtl/>
        </w:rPr>
        <w:t xml:space="preserve"> </w:t>
      </w:r>
      <w:r w:rsidRPr="00EC4195">
        <w:rPr>
          <w:rFonts w:ascii="Traditional Arabic" w:hAnsi="Traditional Arabic" w:cs="Traditional Arabic"/>
          <w:color w:val="000000"/>
          <w:sz w:val="36"/>
          <w:szCs w:val="36"/>
          <w:rtl/>
        </w:rPr>
        <w:lastRenderedPageBreak/>
        <w:t xml:space="preserve">ألقرت قلهلم </w:t>
      </w:r>
      <w:r w:rsidRPr="00EC4195">
        <w:rPr>
          <w:rFonts w:ascii="Traditional Arabic" w:hAnsi="Traditional Arabic" w:cs="Traditional Arabic"/>
          <w:color w:val="000000"/>
          <w:sz w:val="36"/>
          <w:szCs w:val="36"/>
        </w:rPr>
        <w:t>Wilhelm</w:t>
      </w:r>
      <w:r w:rsidR="00EC4195" w:rsidRPr="00EC4195">
        <w:rPr>
          <w:rFonts w:ascii="Traditional Arabic" w:hAnsi="Traditional Arabic" w:cs="Traditional Arabic"/>
          <w:color w:val="000000"/>
          <w:sz w:val="36"/>
          <w:szCs w:val="36"/>
        </w:rPr>
        <w:t xml:space="preserve"> Ahlward</w:t>
      </w:r>
      <w:r w:rsidR="00EC4195" w:rsidRPr="00EC4195">
        <w:rPr>
          <w:rFonts w:ascii="Traditional Arabic" w:hAnsi="Traditional Arabic" w:cs="Traditional Arabic"/>
          <w:color w:val="000000"/>
          <w:sz w:val="36"/>
          <w:szCs w:val="36"/>
          <w:rtl/>
        </w:rPr>
        <w:t xml:space="preserve"> ت </w:t>
      </w:r>
      <w:r w:rsidR="00EC4195" w:rsidRPr="00EC4195">
        <w:rPr>
          <w:rFonts w:ascii="Traditional Arabic" w:hAnsi="Traditional Arabic" w:cs="Traditional Arabic"/>
          <w:color w:val="000000"/>
          <w:sz w:val="36"/>
          <w:szCs w:val="36"/>
        </w:rPr>
        <w:t>1919</w:t>
      </w:r>
      <w:r w:rsidRPr="00EC4195">
        <w:rPr>
          <w:rFonts w:ascii="Traditional Arabic" w:hAnsi="Traditional Arabic" w:cs="Traditional Arabic"/>
          <w:color w:val="000000"/>
          <w:sz w:val="36"/>
          <w:szCs w:val="36"/>
          <w:rtl/>
        </w:rPr>
        <w:t>، دراسة عنونها، ملاحظات على صحة الشعر الجاهلي، ولم يختلف فيهاكثيرا عما ذهب إليه نولدكه في دراسته ، إ</w:t>
      </w:r>
      <w:r w:rsidR="00EC4195">
        <w:rPr>
          <w:rFonts w:ascii="Traditional Arabic" w:hAnsi="Traditional Arabic" w:cs="Traditional Arabic"/>
          <w:color w:val="000000"/>
          <w:sz w:val="36"/>
          <w:szCs w:val="36"/>
          <w:rtl/>
        </w:rPr>
        <w:t>لا أنه قسم القصائد الجاهلية إلى</w:t>
      </w:r>
      <w:r w:rsidR="00EC4195">
        <w:rPr>
          <w:rFonts w:ascii="Traditional Arabic" w:hAnsi="Traditional Arabic" w:cs="Traditional Arabic" w:hint="cs"/>
          <w:color w:val="000000"/>
          <w:sz w:val="36"/>
          <w:szCs w:val="36"/>
          <w:rtl/>
        </w:rPr>
        <w:t xml:space="preserve"> </w:t>
      </w:r>
      <w:r w:rsidRPr="00EC4195">
        <w:rPr>
          <w:rFonts w:ascii="Traditional Arabic" w:hAnsi="Traditional Arabic" w:cs="Traditional Arabic"/>
          <w:color w:val="000000"/>
          <w:sz w:val="36"/>
          <w:szCs w:val="36"/>
          <w:rtl/>
        </w:rPr>
        <w:t>ثلاث مجموعات : فبعضها صحيح والآخر غير صحيح والثالث مشكوك فيه</w:t>
      </w:r>
      <w:r w:rsidRPr="00EC4195">
        <w:rPr>
          <w:rStyle w:val="Appelnotedebasdep"/>
          <w:rFonts w:ascii="Traditional Arabic" w:hAnsi="Traditional Arabic" w:cs="Traditional Arabic"/>
          <w:color w:val="000000"/>
          <w:sz w:val="36"/>
          <w:szCs w:val="36"/>
          <w:rtl/>
        </w:rPr>
        <w:footnoteReference w:id="9"/>
      </w:r>
      <w:r w:rsidRPr="00EC4195">
        <w:rPr>
          <w:rFonts w:ascii="Traditional Arabic" w:hAnsi="Traditional Arabic" w:cs="Traditional Arabic"/>
          <w:color w:val="000000"/>
          <w:sz w:val="36"/>
          <w:szCs w:val="36"/>
          <w:rtl/>
        </w:rPr>
        <w:t>.</w:t>
      </w:r>
      <w:r w:rsidRPr="00EC4195">
        <w:rPr>
          <w:rFonts w:ascii="Traditional Arabic" w:hAnsi="Traditional Arabic" w:cs="Traditional Arabic"/>
          <w:color w:val="000000"/>
          <w:sz w:val="36"/>
          <w:szCs w:val="36"/>
        </w:rPr>
        <w:br/>
      </w:r>
      <w:r w:rsidRPr="00EC4195">
        <w:rPr>
          <w:rFonts w:ascii="Traditional Arabic" w:hAnsi="Traditional Arabic" w:cs="Traditional Arabic"/>
          <w:color w:val="000000"/>
          <w:sz w:val="36"/>
          <w:szCs w:val="36"/>
          <w:rtl/>
        </w:rPr>
        <w:t xml:space="preserve">  أما المستشرق الإنجليزي رينولد نيكلسون </w:t>
      </w:r>
      <w:r w:rsidRPr="00EC4195">
        <w:rPr>
          <w:rFonts w:ascii="Traditional Arabic" w:hAnsi="Traditional Arabic" w:cs="Traditional Arabic"/>
          <w:color w:val="000000"/>
          <w:sz w:val="36"/>
          <w:szCs w:val="36"/>
        </w:rPr>
        <w:t>R. A Nicholson</w:t>
      </w:r>
      <w:r w:rsidRPr="00EC4195">
        <w:rPr>
          <w:rFonts w:ascii="Traditional Arabic" w:hAnsi="Traditional Arabic" w:cs="Traditional Arabic"/>
          <w:color w:val="000000"/>
          <w:sz w:val="36"/>
          <w:szCs w:val="36"/>
          <w:rtl/>
        </w:rPr>
        <w:t xml:space="preserve"> ت 1945، فقد عمّد في تناوله لقضية الشعر المنحول على الرواية الشفوية باعتبارها الأداة الوحيدة لحفظ الأشعار آن ذاك، إذ أضفى عليها صبغة سياسية، ويرى أيضا أن أثر الدين في حياة الجاهليين كان ضئيلا، ولا ينكر وجود بعض الديانات السماوية كاليهودية والنصرانية في بلاد العرب</w:t>
      </w:r>
      <w:r w:rsidRPr="00EC4195">
        <w:rPr>
          <w:rFonts w:ascii="Traditional Arabic" w:hAnsi="Traditional Arabic" w:cs="Traditional Arabic"/>
          <w:color w:val="000000"/>
          <w:sz w:val="36"/>
          <w:szCs w:val="36"/>
        </w:rPr>
        <w:t xml:space="preserve"> .</w:t>
      </w:r>
      <w:r w:rsidRPr="00EC4195">
        <w:rPr>
          <w:rFonts w:ascii="Traditional Arabic" w:hAnsi="Traditional Arabic" w:cs="Traditional Arabic"/>
          <w:color w:val="000000"/>
          <w:sz w:val="36"/>
          <w:szCs w:val="36"/>
        </w:rPr>
        <w:br/>
      </w:r>
      <w:r w:rsidRPr="00EC4195">
        <w:rPr>
          <w:rFonts w:ascii="Traditional Arabic" w:hAnsi="Traditional Arabic" w:cs="Traditional Arabic"/>
          <w:color w:val="000000"/>
          <w:sz w:val="36"/>
          <w:szCs w:val="36"/>
          <w:rtl/>
        </w:rPr>
        <w:t xml:space="preserve">   ليكمل في الأخير المستشرق يهودي الدين إنجليزي المنبت، دافيد صموئيل مرجليوث </w:t>
      </w:r>
      <w:r w:rsidRPr="00EC4195">
        <w:rPr>
          <w:rFonts w:ascii="Traditional Arabic" w:hAnsi="Traditional Arabic" w:cs="Traditional Arabic"/>
          <w:color w:val="000000"/>
          <w:sz w:val="36"/>
          <w:szCs w:val="36"/>
        </w:rPr>
        <w:t>D. S</w:t>
      </w:r>
      <w:r w:rsidRPr="00EC4195">
        <w:rPr>
          <w:rFonts w:ascii="Traditional Arabic" w:hAnsi="Traditional Arabic" w:cs="Traditional Arabic"/>
          <w:color w:val="000000"/>
          <w:sz w:val="36"/>
          <w:szCs w:val="36"/>
        </w:rPr>
        <w:br/>
        <w:t>Margoliouth</w:t>
      </w:r>
      <w:r w:rsidRPr="00EC4195">
        <w:rPr>
          <w:rFonts w:ascii="Traditional Arabic" w:hAnsi="Traditional Arabic" w:cs="Traditional Arabic"/>
          <w:color w:val="000000"/>
          <w:sz w:val="36"/>
          <w:szCs w:val="36"/>
          <w:rtl/>
        </w:rPr>
        <w:t xml:space="preserve"> ت 1940، عْقَد المستشرقين الذين أثاروا عاصفة ما بعدها عاصفة حول صحة الشعر الجاهلي، فمرجليوث من الذين نالوا القدر الوافر من الآداب الكلاسيكية وعّرف عنه عنايته وإتقانه للغات السامية، فقبل أن ينشر في سنة </w:t>
      </w:r>
      <w:r w:rsidRPr="00EC4195">
        <w:rPr>
          <w:rFonts w:ascii="Traditional Arabic" w:hAnsi="Traditional Arabic" w:cs="Traditional Arabic"/>
          <w:color w:val="000000"/>
          <w:sz w:val="36"/>
          <w:szCs w:val="36"/>
        </w:rPr>
        <w:t>1925</w:t>
      </w:r>
      <w:r w:rsidRPr="00EC4195">
        <w:rPr>
          <w:rFonts w:ascii="Traditional Arabic" w:hAnsi="Traditional Arabic" w:cs="Traditional Arabic"/>
          <w:color w:val="000000"/>
          <w:sz w:val="36"/>
          <w:szCs w:val="36"/>
          <w:rtl/>
        </w:rPr>
        <w:t xml:space="preserve">م كتابه الموسوم، أصول الشعر العربي ، الذي يعّد محصلة ما تّوصل إليه في كتاباته السابقة التي تعود إلى حوالي الربع قرن من الزمن، حيث يرجح أن الأفكار التي راودت ذهنه حول قضية الانتحال تعود إلى زمن غير قريب ، ولعل أهم ما يؤكد هذا كتابه الذي أصدره عن محمد صلى الله عليه وسلم وظهور الإسلام، وعنونه، </w:t>
      </w:r>
      <w:r w:rsidRPr="00EC4195">
        <w:rPr>
          <w:rFonts w:ascii="Traditional Arabic" w:hAnsi="Traditional Arabic" w:cs="Traditional Arabic"/>
          <w:color w:val="000000"/>
          <w:sz w:val="36"/>
          <w:szCs w:val="36"/>
        </w:rPr>
        <w:t>Mohammad and the Rise of</w:t>
      </w:r>
      <w:r w:rsidRPr="00EC4195">
        <w:rPr>
          <w:rFonts w:ascii="Traditional Arabic" w:hAnsi="Traditional Arabic" w:cs="Traditional Arabic"/>
          <w:color w:val="000000"/>
          <w:sz w:val="36"/>
          <w:szCs w:val="36"/>
          <w:rtl/>
        </w:rPr>
        <w:t xml:space="preserve">، </w:t>
      </w:r>
      <w:r w:rsidRPr="00EC4195">
        <w:rPr>
          <w:rFonts w:ascii="Traditional Arabic" w:hAnsi="Traditional Arabic" w:cs="Traditional Arabic"/>
          <w:color w:val="000000"/>
          <w:sz w:val="36"/>
          <w:szCs w:val="36"/>
        </w:rPr>
        <w:t>Islam</w:t>
      </w:r>
      <w:r w:rsidRPr="00EC4195">
        <w:rPr>
          <w:rFonts w:ascii="Traditional Arabic" w:hAnsi="Traditional Arabic" w:cs="Traditional Arabic"/>
          <w:color w:val="000000"/>
          <w:sz w:val="36"/>
          <w:szCs w:val="36"/>
          <w:rtl/>
        </w:rPr>
        <w:t xml:space="preserve"> حيث يلفت فيه الأنظار إلىالشبه بين لغة القرآن والشعر الجاهلي، إضافة إلى العديد من المقالات خاصة تلك التي نشرت في مجلة الجمعية الملكية الآسيوية كالمقالة التي كتبها سنة </w:t>
      </w:r>
      <w:r w:rsidRPr="00EC4195">
        <w:rPr>
          <w:rFonts w:ascii="Traditional Arabic" w:hAnsi="Traditional Arabic" w:cs="Traditional Arabic"/>
          <w:color w:val="000000"/>
          <w:sz w:val="36"/>
          <w:szCs w:val="36"/>
        </w:rPr>
        <w:t>1911</w:t>
      </w:r>
      <w:r w:rsidRPr="00EC4195">
        <w:rPr>
          <w:rFonts w:ascii="Traditional Arabic" w:hAnsi="Traditional Arabic" w:cs="Traditional Arabic"/>
          <w:color w:val="000000"/>
          <w:sz w:val="36"/>
          <w:szCs w:val="36"/>
          <w:rtl/>
        </w:rPr>
        <w:t>م والتي وسمها بـ، أصل الشعر العربي ، وقد بنى مرجليوث حججه في إنكار الشعر الجاهلي على الموضوعات التالية</w:t>
      </w:r>
      <w:r w:rsidRPr="00EC4195">
        <w:rPr>
          <w:rFonts w:ascii="Traditional Arabic" w:hAnsi="Traditional Arabic" w:cs="Traditional Arabic"/>
          <w:color w:val="000000"/>
          <w:sz w:val="36"/>
          <w:szCs w:val="36"/>
        </w:rPr>
        <w:t>:</w:t>
      </w:r>
      <w:r w:rsidRPr="00EC4195">
        <w:rPr>
          <w:rStyle w:val="Appelnotedebasdep"/>
          <w:rFonts w:ascii="Traditional Arabic" w:hAnsi="Traditional Arabic" w:cs="Traditional Arabic"/>
          <w:color w:val="000000"/>
          <w:sz w:val="36"/>
          <w:szCs w:val="36"/>
        </w:rPr>
        <w:footnoteReference w:id="10"/>
      </w:r>
      <w:r w:rsidRPr="00EC4195">
        <w:rPr>
          <w:rFonts w:ascii="Traditional Arabic" w:hAnsi="Traditional Arabic" w:cs="Traditional Arabic"/>
          <w:color w:val="000000"/>
          <w:sz w:val="36"/>
          <w:szCs w:val="36"/>
        </w:rPr>
        <w:t xml:space="preserve"> </w:t>
      </w:r>
      <w:r w:rsidRPr="00EC4195">
        <w:rPr>
          <w:rFonts w:ascii="Traditional Arabic" w:hAnsi="Traditional Arabic" w:cs="Traditional Arabic"/>
          <w:color w:val="000000"/>
          <w:sz w:val="36"/>
          <w:szCs w:val="36"/>
        </w:rPr>
        <w:br/>
      </w:r>
      <w:r w:rsidRPr="00EC4195">
        <w:rPr>
          <w:rFonts w:ascii="Traditional Arabic" w:hAnsi="Traditional Arabic" w:cs="Traditional Arabic"/>
          <w:color w:val="000000"/>
          <w:sz w:val="36"/>
          <w:szCs w:val="36"/>
          <w:rtl/>
        </w:rPr>
        <w:t>ـ العلاقة بين النقوش و الأشعار</w:t>
      </w:r>
      <w:r w:rsidRPr="00EC4195">
        <w:rPr>
          <w:rFonts w:ascii="Traditional Arabic" w:hAnsi="Traditional Arabic" w:cs="Traditional Arabic"/>
          <w:color w:val="000000"/>
          <w:sz w:val="36"/>
          <w:szCs w:val="36"/>
        </w:rPr>
        <w:t>.</w:t>
      </w:r>
      <w:r w:rsidRPr="00EC4195">
        <w:rPr>
          <w:rFonts w:ascii="Traditional Arabic" w:hAnsi="Traditional Arabic" w:cs="Traditional Arabic"/>
          <w:color w:val="000000"/>
          <w:sz w:val="36"/>
          <w:szCs w:val="36"/>
        </w:rPr>
        <w:br/>
      </w:r>
      <w:r w:rsidRPr="00EC4195">
        <w:rPr>
          <w:rFonts w:ascii="Traditional Arabic" w:hAnsi="Traditional Arabic" w:cs="Traditional Arabic"/>
          <w:color w:val="000000"/>
          <w:sz w:val="36"/>
          <w:szCs w:val="36"/>
          <w:rtl/>
        </w:rPr>
        <w:t>ـ العلاقة بين القرآن و النقوش</w:t>
      </w:r>
      <w:r w:rsidRPr="00EC4195">
        <w:rPr>
          <w:rFonts w:ascii="Traditional Arabic" w:hAnsi="Traditional Arabic" w:cs="Traditional Arabic"/>
          <w:color w:val="000000"/>
          <w:sz w:val="36"/>
          <w:szCs w:val="36"/>
        </w:rPr>
        <w:t>.</w:t>
      </w:r>
      <w:r w:rsidRPr="00EC4195">
        <w:rPr>
          <w:rFonts w:ascii="Traditional Arabic" w:hAnsi="Traditional Arabic" w:cs="Traditional Arabic"/>
          <w:color w:val="000000"/>
          <w:sz w:val="36"/>
          <w:szCs w:val="36"/>
        </w:rPr>
        <w:br/>
      </w:r>
      <w:r w:rsidRPr="00EC4195">
        <w:rPr>
          <w:rFonts w:ascii="Traditional Arabic" w:hAnsi="Traditional Arabic" w:cs="Traditional Arabic"/>
          <w:color w:val="000000"/>
          <w:sz w:val="36"/>
          <w:szCs w:val="36"/>
          <w:rtl/>
        </w:rPr>
        <w:t>ـ الثقة في الرواة</w:t>
      </w:r>
      <w:r w:rsidRPr="00EC4195">
        <w:rPr>
          <w:rFonts w:ascii="Traditional Arabic" w:hAnsi="Traditional Arabic" w:cs="Traditional Arabic"/>
          <w:color w:val="000000"/>
          <w:sz w:val="36"/>
          <w:szCs w:val="36"/>
        </w:rPr>
        <w:t xml:space="preserve"> .</w:t>
      </w:r>
      <w:r w:rsidRPr="00EC4195">
        <w:rPr>
          <w:rFonts w:ascii="Traditional Arabic" w:hAnsi="Traditional Arabic" w:cs="Traditional Arabic"/>
          <w:color w:val="000000"/>
          <w:sz w:val="36"/>
          <w:szCs w:val="36"/>
        </w:rPr>
        <w:br/>
      </w:r>
      <w:r w:rsidRPr="00EC4195">
        <w:rPr>
          <w:rFonts w:ascii="Traditional Arabic" w:hAnsi="Traditional Arabic" w:cs="Traditional Arabic"/>
          <w:color w:val="000000"/>
          <w:sz w:val="36"/>
          <w:szCs w:val="36"/>
          <w:rtl/>
        </w:rPr>
        <w:t>ـ مضمون الشعر الجاهلي</w:t>
      </w:r>
      <w:r w:rsidRPr="00EC4195">
        <w:rPr>
          <w:rFonts w:ascii="Traditional Arabic" w:hAnsi="Traditional Arabic" w:cs="Traditional Arabic"/>
          <w:color w:val="000000"/>
          <w:sz w:val="36"/>
          <w:szCs w:val="36"/>
        </w:rPr>
        <w:t xml:space="preserve"> .</w:t>
      </w:r>
      <w:r w:rsidRPr="00EC4195">
        <w:rPr>
          <w:rFonts w:ascii="Traditional Arabic" w:hAnsi="Traditional Arabic" w:cs="Traditional Arabic"/>
          <w:color w:val="000000"/>
          <w:sz w:val="36"/>
          <w:szCs w:val="36"/>
        </w:rPr>
        <w:br/>
      </w:r>
      <w:r w:rsidR="000E0D86" w:rsidRPr="00EC4195">
        <w:rPr>
          <w:rFonts w:ascii="Traditional Arabic" w:hAnsi="Traditional Arabic" w:cs="Traditional Arabic"/>
          <w:color w:val="000000"/>
          <w:sz w:val="36"/>
          <w:szCs w:val="36"/>
          <w:rtl/>
        </w:rPr>
        <w:t xml:space="preserve">  </w:t>
      </w:r>
      <w:r w:rsidRPr="00EC4195">
        <w:rPr>
          <w:rFonts w:ascii="Traditional Arabic" w:hAnsi="Traditional Arabic" w:cs="Traditional Arabic"/>
          <w:color w:val="000000"/>
          <w:sz w:val="36"/>
          <w:szCs w:val="36"/>
          <w:rtl/>
        </w:rPr>
        <w:t>كما أن مر</w:t>
      </w:r>
      <w:r w:rsidR="000E0D86" w:rsidRPr="00EC4195">
        <w:rPr>
          <w:rFonts w:ascii="Traditional Arabic" w:hAnsi="Traditional Arabic" w:cs="Traditional Arabic"/>
          <w:color w:val="000000"/>
          <w:sz w:val="36"/>
          <w:szCs w:val="36"/>
          <w:rtl/>
        </w:rPr>
        <w:t>جليوث سار أيضا على نهج نولدكه وألقرت وغيره المستشرقين</w:t>
      </w:r>
      <w:r w:rsidRPr="00EC4195">
        <w:rPr>
          <w:rFonts w:ascii="Traditional Arabic" w:hAnsi="Traditional Arabic" w:cs="Traditional Arabic"/>
          <w:color w:val="000000"/>
          <w:sz w:val="36"/>
          <w:szCs w:val="36"/>
          <w:rtl/>
        </w:rPr>
        <w:t>، في نفيه لصحة الشعر</w:t>
      </w:r>
      <w:r w:rsidR="000E0D86" w:rsidRPr="00EC4195">
        <w:rPr>
          <w:rFonts w:ascii="Traditional Arabic" w:hAnsi="Traditional Arabic" w:cs="Traditional Arabic"/>
          <w:color w:val="000000"/>
          <w:sz w:val="36"/>
          <w:szCs w:val="36"/>
          <w:rtl/>
        </w:rPr>
        <w:t xml:space="preserve"> </w:t>
      </w:r>
      <w:r w:rsidR="000E0D86" w:rsidRPr="00EC4195">
        <w:rPr>
          <w:rFonts w:ascii="Traditional Arabic" w:hAnsi="Traditional Arabic" w:cs="Traditional Arabic"/>
          <w:color w:val="000000"/>
          <w:sz w:val="36"/>
          <w:szCs w:val="36"/>
          <w:rtl/>
        </w:rPr>
        <w:lastRenderedPageBreak/>
        <w:t>الجاهلي</w:t>
      </w:r>
      <w:r w:rsidRPr="00EC4195">
        <w:rPr>
          <w:rFonts w:ascii="Traditional Arabic" w:hAnsi="Traditional Arabic" w:cs="Traditional Arabic"/>
          <w:color w:val="000000"/>
          <w:sz w:val="36"/>
          <w:szCs w:val="36"/>
          <w:rtl/>
        </w:rPr>
        <w:t>، بحجة أنه لا يوجد ذ</w:t>
      </w:r>
      <w:r w:rsidR="000E0D86" w:rsidRPr="00EC4195">
        <w:rPr>
          <w:rFonts w:ascii="Traditional Arabic" w:hAnsi="Traditional Arabic" w:cs="Traditional Arabic"/>
          <w:color w:val="000000"/>
          <w:sz w:val="36"/>
          <w:szCs w:val="36"/>
          <w:rtl/>
        </w:rPr>
        <w:t>كر للدين الجاهلي فيه</w:t>
      </w:r>
      <w:r w:rsidRPr="00EC4195">
        <w:rPr>
          <w:rFonts w:ascii="Traditional Arabic" w:hAnsi="Traditional Arabic" w:cs="Traditional Arabic"/>
          <w:color w:val="000000"/>
          <w:sz w:val="36"/>
          <w:szCs w:val="36"/>
          <w:rtl/>
        </w:rPr>
        <w:t>، وأن ما ذكر فيه من دين الجاهليين الذي غلّب عليه</w:t>
      </w:r>
      <w:r w:rsidR="000E0D86" w:rsidRPr="00EC4195">
        <w:rPr>
          <w:rFonts w:ascii="Traditional Arabic" w:hAnsi="Traditional Arabic" w:cs="Traditional Arabic"/>
          <w:color w:val="000000"/>
          <w:sz w:val="36"/>
          <w:szCs w:val="36"/>
          <w:rtl/>
        </w:rPr>
        <w:t xml:space="preserve"> الطابع الوثني</w:t>
      </w:r>
      <w:r w:rsidRPr="00EC4195">
        <w:rPr>
          <w:rFonts w:ascii="Traditional Arabic" w:hAnsi="Traditional Arabic" w:cs="Traditional Arabic"/>
          <w:color w:val="000000"/>
          <w:sz w:val="36"/>
          <w:szCs w:val="36"/>
          <w:rtl/>
        </w:rPr>
        <w:t>، إنما هو موضوع على ألسن الرواة بعد الإسلا</w:t>
      </w:r>
      <w:r w:rsidR="000E0D86" w:rsidRPr="00EC4195">
        <w:rPr>
          <w:rFonts w:ascii="Traditional Arabic" w:hAnsi="Traditional Arabic" w:cs="Traditional Arabic"/>
          <w:color w:val="000000"/>
          <w:sz w:val="36"/>
          <w:szCs w:val="36"/>
          <w:rtl/>
        </w:rPr>
        <w:t>م كحماد الراوية وخلَّف الأحمر و</w:t>
      </w:r>
      <w:r w:rsidRPr="00EC4195">
        <w:rPr>
          <w:rFonts w:ascii="Traditional Arabic" w:hAnsi="Traditional Arabic" w:cs="Traditional Arabic"/>
          <w:color w:val="000000"/>
          <w:sz w:val="36"/>
          <w:szCs w:val="36"/>
          <w:rtl/>
        </w:rPr>
        <w:t>غيرهم</w:t>
      </w:r>
      <w:r w:rsidRPr="00EC4195">
        <w:rPr>
          <w:rFonts w:ascii="Traditional Arabic" w:hAnsi="Traditional Arabic" w:cs="Traditional Arabic"/>
          <w:color w:val="000000"/>
          <w:sz w:val="36"/>
          <w:szCs w:val="36"/>
        </w:rPr>
        <w:t xml:space="preserve"> .</w:t>
      </w:r>
      <w:r w:rsidRPr="00EC4195">
        <w:rPr>
          <w:rFonts w:ascii="Traditional Arabic" w:hAnsi="Traditional Arabic" w:cs="Traditional Arabic"/>
          <w:color w:val="000000"/>
          <w:sz w:val="36"/>
          <w:szCs w:val="36"/>
        </w:rPr>
        <w:br/>
      </w:r>
      <w:r w:rsidR="000E0D86" w:rsidRPr="00EC4195">
        <w:rPr>
          <w:rFonts w:ascii="Traditional Arabic" w:hAnsi="Traditional Arabic" w:cs="Traditional Arabic"/>
          <w:color w:val="000000"/>
          <w:sz w:val="36"/>
          <w:szCs w:val="36"/>
          <w:rtl/>
        </w:rPr>
        <w:t xml:space="preserve">  كما سبق ذكره من قبل</w:t>
      </w:r>
      <w:r w:rsidRPr="00EC4195">
        <w:rPr>
          <w:rFonts w:ascii="Traditional Arabic" w:hAnsi="Traditional Arabic" w:cs="Traditional Arabic"/>
          <w:color w:val="000000"/>
          <w:sz w:val="36"/>
          <w:szCs w:val="36"/>
          <w:rtl/>
        </w:rPr>
        <w:t>، فإن ا</w:t>
      </w:r>
      <w:r w:rsidR="000E0D86" w:rsidRPr="00EC4195">
        <w:rPr>
          <w:rFonts w:ascii="Traditional Arabic" w:hAnsi="Traditional Arabic" w:cs="Traditional Arabic"/>
          <w:color w:val="000000"/>
          <w:sz w:val="36"/>
          <w:szCs w:val="36"/>
          <w:rtl/>
        </w:rPr>
        <w:t>لمستشرقين قد تخندقوا في طائفتين</w:t>
      </w:r>
      <w:r w:rsidRPr="00EC4195">
        <w:rPr>
          <w:rFonts w:ascii="Traditional Arabic" w:hAnsi="Traditional Arabic" w:cs="Traditional Arabic"/>
          <w:color w:val="000000"/>
          <w:sz w:val="36"/>
          <w:szCs w:val="36"/>
          <w:rtl/>
        </w:rPr>
        <w:t>، الأولى عّرف عنها التمسك</w:t>
      </w:r>
      <w:r w:rsidR="000E0D86" w:rsidRPr="00EC4195">
        <w:rPr>
          <w:rFonts w:ascii="Traditional Arabic" w:hAnsi="Traditional Arabic" w:cs="Traditional Arabic"/>
          <w:color w:val="000000"/>
          <w:sz w:val="36"/>
          <w:szCs w:val="36"/>
          <w:rtl/>
        </w:rPr>
        <w:t xml:space="preserve"> </w:t>
      </w:r>
      <w:r w:rsidRPr="00EC4195">
        <w:rPr>
          <w:rFonts w:ascii="Traditional Arabic" w:hAnsi="Traditional Arabic" w:cs="Traditional Arabic"/>
          <w:color w:val="000000"/>
          <w:sz w:val="36"/>
          <w:szCs w:val="36"/>
          <w:rtl/>
        </w:rPr>
        <w:t>بالآر</w:t>
      </w:r>
      <w:r w:rsidR="000E0D86" w:rsidRPr="00EC4195">
        <w:rPr>
          <w:rFonts w:ascii="Traditional Arabic" w:hAnsi="Traditional Arabic" w:cs="Traditional Arabic"/>
          <w:color w:val="000000"/>
          <w:sz w:val="36"/>
          <w:szCs w:val="36"/>
          <w:rtl/>
        </w:rPr>
        <w:t>اء و</w:t>
      </w:r>
      <w:r w:rsidRPr="00EC4195">
        <w:rPr>
          <w:rFonts w:ascii="Traditional Arabic" w:hAnsi="Traditional Arabic" w:cs="Traditional Arabic"/>
          <w:color w:val="000000"/>
          <w:sz w:val="36"/>
          <w:szCs w:val="36"/>
          <w:rtl/>
        </w:rPr>
        <w:t>الأح</w:t>
      </w:r>
      <w:r w:rsidR="000E0D86" w:rsidRPr="00EC4195">
        <w:rPr>
          <w:rFonts w:ascii="Traditional Arabic" w:hAnsi="Traditional Arabic" w:cs="Traditional Arabic"/>
          <w:color w:val="000000"/>
          <w:sz w:val="36"/>
          <w:szCs w:val="36"/>
          <w:rtl/>
        </w:rPr>
        <w:t>كام القائمة على الأيديولوجيات والأحكام المسبقة، بينما على النقيض من ذلك</w:t>
      </w:r>
      <w:r w:rsidRPr="00EC4195">
        <w:rPr>
          <w:rFonts w:ascii="Traditional Arabic" w:hAnsi="Traditional Arabic" w:cs="Traditional Arabic"/>
          <w:color w:val="000000"/>
          <w:sz w:val="36"/>
          <w:szCs w:val="36"/>
          <w:rtl/>
        </w:rPr>
        <w:t>، تميّزت</w:t>
      </w:r>
      <w:r w:rsidR="000E0D86" w:rsidRPr="00EC4195">
        <w:rPr>
          <w:rFonts w:ascii="Traditional Arabic" w:hAnsi="Traditional Arabic" w:cs="Traditional Arabic"/>
          <w:color w:val="000000"/>
          <w:sz w:val="36"/>
          <w:szCs w:val="36"/>
          <w:rtl/>
        </w:rPr>
        <w:t xml:space="preserve"> </w:t>
      </w:r>
      <w:r w:rsidRPr="00EC4195">
        <w:rPr>
          <w:rFonts w:ascii="Traditional Arabic" w:hAnsi="Traditional Arabic" w:cs="Traditional Arabic"/>
          <w:color w:val="000000"/>
          <w:sz w:val="36"/>
          <w:szCs w:val="36"/>
          <w:rtl/>
        </w:rPr>
        <w:t>الطائفة الثاني</w:t>
      </w:r>
      <w:r w:rsidR="000E0D86" w:rsidRPr="00EC4195">
        <w:rPr>
          <w:rFonts w:ascii="Traditional Arabic" w:hAnsi="Traditional Arabic" w:cs="Traditional Arabic"/>
          <w:color w:val="000000"/>
          <w:sz w:val="36"/>
          <w:szCs w:val="36"/>
          <w:rtl/>
        </w:rPr>
        <w:t>ة بأنها أحسنت إلى الشعر الجاهلي</w:t>
      </w:r>
      <w:r w:rsidRPr="00EC4195">
        <w:rPr>
          <w:rFonts w:ascii="Traditional Arabic" w:hAnsi="Traditional Arabic" w:cs="Traditional Arabic"/>
          <w:color w:val="000000"/>
          <w:sz w:val="36"/>
          <w:szCs w:val="36"/>
          <w:rtl/>
        </w:rPr>
        <w:t>، ف</w:t>
      </w:r>
      <w:r w:rsidR="000E0D86" w:rsidRPr="00EC4195">
        <w:rPr>
          <w:rFonts w:ascii="Traditional Arabic" w:hAnsi="Traditional Arabic" w:cs="Traditional Arabic"/>
          <w:color w:val="000000"/>
          <w:sz w:val="36"/>
          <w:szCs w:val="36"/>
          <w:rtl/>
        </w:rPr>
        <w:t>ترجم أصحابها الدواوين الشعرية و</w:t>
      </w:r>
      <w:r w:rsidRPr="00EC4195">
        <w:rPr>
          <w:rFonts w:ascii="Traditional Arabic" w:hAnsi="Traditional Arabic" w:cs="Traditional Arabic"/>
          <w:color w:val="000000"/>
          <w:sz w:val="36"/>
          <w:szCs w:val="36"/>
          <w:rtl/>
        </w:rPr>
        <w:t>قدموا دراسات متعمقة</w:t>
      </w:r>
      <w:r w:rsidR="000E0D86" w:rsidRPr="00EC4195">
        <w:rPr>
          <w:rFonts w:ascii="Traditional Arabic" w:hAnsi="Traditional Arabic" w:cs="Traditional Arabic"/>
          <w:color w:val="000000"/>
          <w:sz w:val="36"/>
          <w:szCs w:val="36"/>
          <w:rtl/>
        </w:rPr>
        <w:t xml:space="preserve"> </w:t>
      </w:r>
      <w:r w:rsidRPr="00EC4195">
        <w:rPr>
          <w:rFonts w:ascii="Traditional Arabic" w:hAnsi="Traditional Arabic" w:cs="Traditional Arabic"/>
          <w:color w:val="000000"/>
          <w:sz w:val="36"/>
          <w:szCs w:val="36"/>
          <w:rtl/>
        </w:rPr>
        <w:t xml:space="preserve">فيه بنيًّت في الأساس </w:t>
      </w:r>
      <w:r w:rsidR="000E0D86" w:rsidRPr="00EC4195">
        <w:rPr>
          <w:rFonts w:ascii="Traditional Arabic" w:hAnsi="Traditional Arabic" w:cs="Traditional Arabic"/>
          <w:color w:val="000000"/>
          <w:sz w:val="36"/>
          <w:szCs w:val="36"/>
          <w:rtl/>
        </w:rPr>
        <w:t>على الأمانة العلمية بشكل دقيق وواف</w:t>
      </w:r>
      <w:r w:rsidRPr="00EC4195">
        <w:rPr>
          <w:rFonts w:ascii="Traditional Arabic" w:hAnsi="Traditional Arabic" w:cs="Traditional Arabic"/>
          <w:color w:val="000000"/>
          <w:sz w:val="36"/>
          <w:szCs w:val="36"/>
          <w:rtl/>
        </w:rPr>
        <w:t>، وم</w:t>
      </w:r>
      <w:r w:rsidR="000E0D86" w:rsidRPr="00EC4195">
        <w:rPr>
          <w:rFonts w:ascii="Traditional Arabic" w:hAnsi="Traditional Arabic" w:cs="Traditional Arabic"/>
          <w:color w:val="000000"/>
          <w:sz w:val="36"/>
          <w:szCs w:val="36"/>
          <w:rtl/>
        </w:rPr>
        <w:t>ن أبرز هؤلاء المستشرقين</w:t>
      </w:r>
      <w:r w:rsidRPr="00EC4195">
        <w:rPr>
          <w:rFonts w:ascii="Traditional Arabic" w:hAnsi="Traditional Arabic" w:cs="Traditional Arabic"/>
          <w:color w:val="000000"/>
          <w:sz w:val="36"/>
          <w:szCs w:val="36"/>
          <w:rtl/>
        </w:rPr>
        <w:t>، نذكر</w:t>
      </w:r>
      <w:r w:rsidRPr="00EC4195">
        <w:rPr>
          <w:rFonts w:ascii="Traditional Arabic" w:hAnsi="Traditional Arabic" w:cs="Traditional Arabic"/>
          <w:color w:val="000000"/>
          <w:sz w:val="36"/>
          <w:szCs w:val="36"/>
        </w:rPr>
        <w:t xml:space="preserve"> :</w:t>
      </w:r>
      <w:r w:rsidRPr="00EC4195">
        <w:rPr>
          <w:rFonts w:ascii="Traditional Arabic" w:hAnsi="Traditional Arabic" w:cs="Traditional Arabic"/>
          <w:color w:val="000000"/>
          <w:sz w:val="36"/>
          <w:szCs w:val="36"/>
        </w:rPr>
        <w:br/>
      </w:r>
      <w:r w:rsidR="000E0D86" w:rsidRPr="00EC4195">
        <w:rPr>
          <w:rFonts w:ascii="Traditional Arabic" w:hAnsi="Traditional Arabic" w:cs="Traditional Arabic"/>
          <w:color w:val="000000"/>
          <w:sz w:val="36"/>
          <w:szCs w:val="36"/>
          <w:rtl/>
        </w:rPr>
        <w:t xml:space="preserve">  </w:t>
      </w:r>
      <w:r w:rsidRPr="00EC4195">
        <w:rPr>
          <w:rFonts w:ascii="Traditional Arabic" w:hAnsi="Traditional Arabic" w:cs="Traditional Arabic"/>
          <w:color w:val="000000"/>
          <w:sz w:val="36"/>
          <w:szCs w:val="36"/>
          <w:rtl/>
        </w:rPr>
        <w:t xml:space="preserve">سير تشارلس جيمس لايل </w:t>
      </w:r>
      <w:r w:rsidRPr="00EC4195">
        <w:rPr>
          <w:rFonts w:ascii="Traditional Arabic" w:hAnsi="Traditional Arabic" w:cs="Traditional Arabic"/>
          <w:color w:val="000000"/>
          <w:sz w:val="36"/>
          <w:szCs w:val="36"/>
        </w:rPr>
        <w:t>Sir Charles J. Lyall</w:t>
      </w:r>
      <w:r w:rsidRPr="00EC4195">
        <w:rPr>
          <w:rFonts w:ascii="Traditional Arabic" w:hAnsi="Traditional Arabic" w:cs="Traditional Arabic"/>
          <w:color w:val="000000"/>
          <w:sz w:val="36"/>
          <w:szCs w:val="36"/>
          <w:rtl/>
        </w:rPr>
        <w:t xml:space="preserve">ت </w:t>
      </w:r>
      <w:r w:rsidRPr="00EC4195">
        <w:rPr>
          <w:rFonts w:ascii="Traditional Arabic" w:hAnsi="Traditional Arabic" w:cs="Traditional Arabic"/>
          <w:color w:val="000000"/>
          <w:sz w:val="36"/>
          <w:szCs w:val="36"/>
        </w:rPr>
        <w:t>1920</w:t>
      </w:r>
      <w:r w:rsidRPr="00EC4195">
        <w:rPr>
          <w:rFonts w:ascii="Traditional Arabic" w:hAnsi="Traditional Arabic" w:cs="Traditional Arabic"/>
          <w:color w:val="000000"/>
          <w:sz w:val="36"/>
          <w:szCs w:val="36"/>
          <w:rtl/>
        </w:rPr>
        <w:t>، حيث أكد لايل على</w:t>
      </w:r>
      <w:r w:rsidR="000E0D86" w:rsidRPr="00EC4195">
        <w:rPr>
          <w:rFonts w:ascii="Traditional Arabic" w:hAnsi="Traditional Arabic" w:cs="Traditional Arabic"/>
          <w:color w:val="000000"/>
          <w:sz w:val="36"/>
          <w:szCs w:val="36"/>
          <w:rtl/>
        </w:rPr>
        <w:t xml:space="preserve"> صحة الشعر الجاهلي، و</w:t>
      </w:r>
      <w:r w:rsidRPr="00EC4195">
        <w:rPr>
          <w:rFonts w:ascii="Traditional Arabic" w:hAnsi="Traditional Arabic" w:cs="Traditional Arabic"/>
          <w:color w:val="000000"/>
          <w:sz w:val="36"/>
          <w:szCs w:val="36"/>
          <w:rtl/>
        </w:rPr>
        <w:t>أنه ليس من قَبيل الصدفة أن يسوق لنا حجته على ذلك بقوله " فقد استمر أثر</w:t>
      </w:r>
      <w:r w:rsidR="000E0D86" w:rsidRPr="00EC4195">
        <w:rPr>
          <w:rFonts w:ascii="Traditional Arabic" w:hAnsi="Traditional Arabic" w:cs="Traditional Arabic"/>
          <w:color w:val="000000"/>
          <w:sz w:val="36"/>
          <w:szCs w:val="36"/>
          <w:rtl/>
        </w:rPr>
        <w:t xml:space="preserve"> شعراء القرن الأول المشهورين: الفرزدق والأخطل وذو الرمة على تقاليد الشعراء في العصر الجاهلي، فبالإضافة إلى إشارتهم الشخصية استعملوا تراثهم الشعري مرارا وتكرارا، متناولين نفس الموضوعات بنفس الطرق، محسنين ومحورين ومستعيرين، ولكن ما زالوا متقيدين بنفس التقاليد</w:t>
      </w:r>
      <w:r w:rsidR="000E0D86" w:rsidRPr="00EC4195">
        <w:rPr>
          <w:rFonts w:ascii="Traditional Arabic" w:hAnsi="Traditional Arabic" w:cs="Traditional Arabic"/>
          <w:color w:val="000000"/>
          <w:sz w:val="36"/>
          <w:szCs w:val="36"/>
        </w:rPr>
        <w:t>"</w:t>
      </w:r>
      <w:r w:rsidR="000E0D86" w:rsidRPr="00EC4195">
        <w:rPr>
          <w:rStyle w:val="Appelnotedebasdep"/>
          <w:rFonts w:ascii="Traditional Arabic" w:hAnsi="Traditional Arabic" w:cs="Traditional Arabic"/>
          <w:color w:val="000000"/>
          <w:sz w:val="36"/>
          <w:szCs w:val="36"/>
        </w:rPr>
        <w:footnoteReference w:id="11"/>
      </w:r>
      <w:r w:rsidR="000E0D86" w:rsidRPr="00EC4195">
        <w:rPr>
          <w:rFonts w:ascii="Traditional Arabic" w:hAnsi="Traditional Arabic" w:cs="Traditional Arabic"/>
          <w:color w:val="000000"/>
          <w:sz w:val="36"/>
          <w:szCs w:val="36"/>
        </w:rPr>
        <w:br/>
      </w:r>
      <w:r w:rsidR="000E0D86" w:rsidRPr="00EC4195">
        <w:rPr>
          <w:rFonts w:ascii="Traditional Arabic" w:hAnsi="Traditional Arabic" w:cs="Traditional Arabic"/>
          <w:color w:val="000000"/>
          <w:sz w:val="36"/>
          <w:szCs w:val="36"/>
          <w:rtl/>
        </w:rPr>
        <w:t xml:space="preserve">  آربري </w:t>
      </w:r>
      <w:r w:rsidR="000E0D86" w:rsidRPr="00EC4195">
        <w:rPr>
          <w:rFonts w:ascii="Traditional Arabic" w:hAnsi="Traditional Arabic" w:cs="Traditional Arabic"/>
          <w:color w:val="000000"/>
          <w:sz w:val="36"/>
          <w:szCs w:val="36"/>
        </w:rPr>
        <w:t>Arthr John Arberry</w:t>
      </w:r>
      <w:r w:rsidR="000E0D86" w:rsidRPr="00EC4195">
        <w:rPr>
          <w:rFonts w:ascii="Traditional Arabic" w:hAnsi="Traditional Arabic" w:cs="Traditional Arabic"/>
          <w:color w:val="000000"/>
          <w:sz w:val="36"/>
          <w:szCs w:val="36"/>
          <w:rtl/>
        </w:rPr>
        <w:t xml:space="preserve"> ت </w:t>
      </w:r>
      <w:r w:rsidR="00EC4195" w:rsidRPr="00EC4195">
        <w:rPr>
          <w:rFonts w:ascii="Traditional Arabic" w:hAnsi="Traditional Arabic" w:cs="Traditional Arabic"/>
          <w:color w:val="000000"/>
          <w:sz w:val="36"/>
          <w:szCs w:val="36"/>
          <w:rtl/>
        </w:rPr>
        <w:t>1969</w:t>
      </w:r>
      <w:r w:rsidR="000E0D86" w:rsidRPr="00EC4195">
        <w:rPr>
          <w:rFonts w:ascii="Traditional Arabic" w:hAnsi="Traditional Arabic" w:cs="Traditional Arabic"/>
          <w:color w:val="000000"/>
          <w:sz w:val="36"/>
          <w:szCs w:val="36"/>
          <w:rtl/>
        </w:rPr>
        <w:t>، حيث رَّد هذا الأخير على الَزيف الذي نسج</w:t>
      </w:r>
      <w:r w:rsidR="000E0D86" w:rsidRPr="00EC4195">
        <w:rPr>
          <w:rFonts w:ascii="Traditional Arabic" w:hAnsi="Traditional Arabic" w:cs="Traditional Arabic"/>
          <w:color w:val="000000"/>
          <w:sz w:val="36"/>
          <w:szCs w:val="36"/>
        </w:rPr>
        <w:br/>
      </w:r>
      <w:r w:rsidR="000E0D86" w:rsidRPr="00EC4195">
        <w:rPr>
          <w:rFonts w:ascii="Traditional Arabic" w:hAnsi="Traditional Arabic" w:cs="Traditional Arabic"/>
          <w:color w:val="000000"/>
          <w:sz w:val="36"/>
          <w:szCs w:val="36"/>
          <w:rtl/>
        </w:rPr>
        <w:t xml:space="preserve">خيوطه مرجليوث، و يستغرب من رجٍل له صيت شائع و كلمة </w:t>
      </w:r>
      <w:r w:rsidR="00EC4195" w:rsidRPr="00EC4195">
        <w:rPr>
          <w:rFonts w:ascii="Traditional Arabic" w:hAnsi="Traditional Arabic" w:cs="Traditional Arabic"/>
          <w:color w:val="000000"/>
          <w:sz w:val="36"/>
          <w:szCs w:val="36"/>
          <w:rtl/>
        </w:rPr>
        <w:t>مسموعة في الساحة العلمية آن ذاك</w:t>
      </w:r>
      <w:r w:rsidR="000E0D86" w:rsidRPr="00EC4195">
        <w:rPr>
          <w:rFonts w:ascii="Traditional Arabic" w:hAnsi="Traditional Arabic" w:cs="Traditional Arabic"/>
          <w:color w:val="000000"/>
          <w:sz w:val="36"/>
          <w:szCs w:val="36"/>
          <w:rtl/>
        </w:rPr>
        <w:t>، أن</w:t>
      </w:r>
      <w:r w:rsidR="00EC4195">
        <w:rPr>
          <w:rFonts w:ascii="Traditional Arabic" w:hAnsi="Traditional Arabic" w:cs="Traditional Arabic" w:hint="cs"/>
          <w:color w:val="000000"/>
          <w:sz w:val="36"/>
          <w:szCs w:val="36"/>
          <w:rtl/>
        </w:rPr>
        <w:t xml:space="preserve"> </w:t>
      </w:r>
      <w:r w:rsidR="000E0D86" w:rsidRPr="00EC4195">
        <w:rPr>
          <w:rFonts w:ascii="Traditional Arabic" w:hAnsi="Traditional Arabic" w:cs="Traditional Arabic"/>
          <w:color w:val="000000"/>
          <w:sz w:val="36"/>
          <w:szCs w:val="36"/>
          <w:rtl/>
        </w:rPr>
        <w:t>يقع في مثل ما وقع فيه من أخطاء جسيمة بس</w:t>
      </w:r>
      <w:r w:rsidR="00EC4195" w:rsidRPr="00EC4195">
        <w:rPr>
          <w:rFonts w:ascii="Traditional Arabic" w:hAnsi="Traditional Arabic" w:cs="Traditional Arabic"/>
          <w:color w:val="000000"/>
          <w:sz w:val="36"/>
          <w:szCs w:val="36"/>
          <w:rtl/>
        </w:rPr>
        <w:t>بب آرائه التي بثَّها في مؤلفاته</w:t>
      </w:r>
      <w:r w:rsidR="000E0D86" w:rsidRPr="00EC4195">
        <w:rPr>
          <w:rFonts w:ascii="Traditional Arabic" w:hAnsi="Traditional Arabic" w:cs="Traditional Arabic"/>
          <w:color w:val="000000"/>
          <w:sz w:val="36"/>
          <w:szCs w:val="36"/>
          <w:rtl/>
        </w:rPr>
        <w:t>، إذ يقو</w:t>
      </w:r>
      <w:r w:rsidR="00EC4195" w:rsidRPr="00EC4195">
        <w:rPr>
          <w:rFonts w:ascii="Traditional Arabic" w:hAnsi="Traditional Arabic" w:cs="Traditional Arabic"/>
          <w:color w:val="000000"/>
          <w:sz w:val="36"/>
          <w:szCs w:val="36"/>
          <w:rtl/>
        </w:rPr>
        <w:t>ل في خاتمة كتابه</w:t>
      </w:r>
      <w:r w:rsidR="000E0D86" w:rsidRPr="00EC4195">
        <w:rPr>
          <w:rFonts w:ascii="Traditional Arabic" w:hAnsi="Traditional Arabic" w:cs="Traditional Arabic"/>
          <w:color w:val="000000"/>
          <w:sz w:val="36"/>
          <w:szCs w:val="36"/>
          <w:rtl/>
        </w:rPr>
        <w:t>،</w:t>
      </w:r>
      <w:r w:rsidR="00EC4195">
        <w:rPr>
          <w:rFonts w:ascii="Traditional Arabic" w:hAnsi="Traditional Arabic" w:cs="Traditional Arabic" w:hint="cs"/>
          <w:color w:val="000000"/>
          <w:sz w:val="36"/>
          <w:szCs w:val="36"/>
          <w:rtl/>
        </w:rPr>
        <w:t xml:space="preserve"> </w:t>
      </w:r>
      <w:r w:rsidR="000E0D86" w:rsidRPr="00EC4195">
        <w:rPr>
          <w:rFonts w:ascii="Traditional Arabic" w:hAnsi="Traditional Arabic" w:cs="Traditional Arabic"/>
          <w:color w:val="000000"/>
          <w:sz w:val="36"/>
          <w:szCs w:val="36"/>
          <w:rtl/>
        </w:rPr>
        <w:t>المعلقات السبع ، " إن السفسطة ـ و أخشى أن أقول : الغ ّش ـ في بعض الأدلة التي ساقها الأستاذ</w:t>
      </w:r>
      <w:r w:rsidR="00EC4195">
        <w:rPr>
          <w:rFonts w:ascii="Traditional Arabic" w:hAnsi="Traditional Arabic" w:cs="Traditional Arabic" w:hint="cs"/>
          <w:color w:val="000000"/>
          <w:sz w:val="36"/>
          <w:szCs w:val="36"/>
          <w:rtl/>
        </w:rPr>
        <w:t xml:space="preserve"> </w:t>
      </w:r>
      <w:r w:rsidR="000E0D86" w:rsidRPr="00EC4195">
        <w:rPr>
          <w:rFonts w:ascii="Traditional Arabic" w:hAnsi="Traditional Arabic" w:cs="Traditional Arabic"/>
          <w:color w:val="000000"/>
          <w:sz w:val="36"/>
          <w:szCs w:val="36"/>
          <w:rtl/>
        </w:rPr>
        <w:t>مرجليوث</w:t>
      </w:r>
      <w:r w:rsidR="00EC4195">
        <w:rPr>
          <w:rFonts w:ascii="Traditional Arabic" w:hAnsi="Traditional Arabic" w:cs="Traditional Arabic"/>
          <w:color w:val="000000"/>
          <w:sz w:val="36"/>
          <w:szCs w:val="36"/>
          <w:rtl/>
        </w:rPr>
        <w:t>، أمر بيّن جدا، ولا تليق البتة برجلكان</w:t>
      </w:r>
      <w:r w:rsidR="000E0D86" w:rsidRPr="00EC4195">
        <w:rPr>
          <w:rFonts w:ascii="Traditional Arabic" w:hAnsi="Traditional Arabic" w:cs="Traditional Arabic"/>
          <w:color w:val="000000"/>
          <w:sz w:val="36"/>
          <w:szCs w:val="36"/>
          <w:rtl/>
        </w:rPr>
        <w:t>، و ل</w:t>
      </w:r>
      <w:r w:rsidR="00EC4195">
        <w:rPr>
          <w:rFonts w:ascii="Traditional Arabic" w:hAnsi="Traditional Arabic" w:cs="Traditional Arabic"/>
          <w:color w:val="000000"/>
          <w:sz w:val="36"/>
          <w:szCs w:val="36"/>
          <w:rtl/>
        </w:rPr>
        <w:t>ا ريب من أعظم أئمة العلم في</w:t>
      </w:r>
      <w:r w:rsidR="00EC4195">
        <w:rPr>
          <w:rFonts w:ascii="Traditional Arabic" w:hAnsi="Traditional Arabic" w:cs="Traditional Arabic" w:hint="cs"/>
          <w:color w:val="000000"/>
          <w:sz w:val="36"/>
          <w:szCs w:val="36"/>
          <w:rtl/>
        </w:rPr>
        <w:t xml:space="preserve"> </w:t>
      </w:r>
      <w:r w:rsidR="00EC4195" w:rsidRPr="00EC4195">
        <w:rPr>
          <w:rFonts w:ascii="Traditional Arabic" w:hAnsi="Traditional Arabic" w:cs="Traditional Arabic"/>
          <w:color w:val="000000"/>
          <w:sz w:val="36"/>
          <w:szCs w:val="36"/>
          <w:rtl/>
        </w:rPr>
        <w:t>عصره"</w:t>
      </w:r>
      <w:r w:rsidR="00EC4195" w:rsidRPr="00EC4195">
        <w:rPr>
          <w:rStyle w:val="Appelnotedebasdep"/>
          <w:rFonts w:ascii="Traditional Arabic" w:hAnsi="Traditional Arabic" w:cs="Traditional Arabic"/>
          <w:color w:val="000000"/>
          <w:sz w:val="36"/>
          <w:szCs w:val="36"/>
          <w:rtl/>
        </w:rPr>
        <w:footnoteReference w:id="12"/>
      </w:r>
      <w:r w:rsidR="000E0D86" w:rsidRPr="00EC4195">
        <w:rPr>
          <w:rFonts w:ascii="Traditional Arabic" w:hAnsi="Traditional Arabic" w:cs="Traditional Arabic"/>
          <w:color w:val="000000"/>
          <w:sz w:val="36"/>
          <w:szCs w:val="36"/>
        </w:rPr>
        <w:t xml:space="preserve">. </w:t>
      </w:r>
      <w:r w:rsidR="00EC4195" w:rsidRPr="00EC4195">
        <w:rPr>
          <w:rFonts w:ascii="Traditional Arabic" w:hAnsi="Traditional Arabic" w:cs="Traditional Arabic"/>
          <w:color w:val="000000"/>
          <w:sz w:val="36"/>
          <w:szCs w:val="36"/>
          <w:rtl/>
        </w:rPr>
        <w:t xml:space="preserve"> </w:t>
      </w:r>
      <w:r w:rsidR="000E0D86" w:rsidRPr="00EC4195">
        <w:rPr>
          <w:rFonts w:ascii="Traditional Arabic" w:hAnsi="Traditional Arabic" w:cs="Traditional Arabic"/>
          <w:color w:val="000000"/>
          <w:sz w:val="36"/>
          <w:szCs w:val="36"/>
          <w:rtl/>
        </w:rPr>
        <w:t xml:space="preserve">أرش بروينلش </w:t>
      </w:r>
      <w:r w:rsidR="000E0D86" w:rsidRPr="00EC4195">
        <w:rPr>
          <w:rFonts w:ascii="Traditional Arabic" w:hAnsi="Traditional Arabic" w:cs="Traditional Arabic"/>
          <w:color w:val="000000"/>
          <w:sz w:val="36"/>
          <w:szCs w:val="36"/>
        </w:rPr>
        <w:t>Erich Braunlich</w:t>
      </w:r>
      <w:r w:rsidR="000E0D86" w:rsidRPr="00EC4195">
        <w:rPr>
          <w:rFonts w:ascii="Traditional Arabic" w:hAnsi="Traditional Arabic" w:cs="Traditional Arabic"/>
          <w:color w:val="000000"/>
          <w:sz w:val="36"/>
          <w:szCs w:val="36"/>
          <w:rtl/>
        </w:rPr>
        <w:t xml:space="preserve">ت </w:t>
      </w:r>
      <w:r w:rsidR="00EC4195" w:rsidRPr="00EC4195">
        <w:rPr>
          <w:rFonts w:ascii="Traditional Arabic" w:hAnsi="Traditional Arabic" w:cs="Traditional Arabic"/>
          <w:color w:val="000000"/>
          <w:sz w:val="36"/>
          <w:szCs w:val="36"/>
          <w:rtl/>
        </w:rPr>
        <w:t>1945</w:t>
      </w:r>
      <w:r w:rsidR="000E0D86" w:rsidRPr="00EC4195">
        <w:rPr>
          <w:rFonts w:ascii="Traditional Arabic" w:hAnsi="Traditional Arabic" w:cs="Traditional Arabic"/>
          <w:color w:val="000000"/>
          <w:sz w:val="36"/>
          <w:szCs w:val="36"/>
          <w:rtl/>
        </w:rPr>
        <w:t>، حيث رَّد بعد عام على المقالة التي نشرها</w:t>
      </w:r>
      <w:r w:rsidR="00EC4195" w:rsidRPr="00EC4195">
        <w:rPr>
          <w:rFonts w:ascii="Traditional Arabic" w:hAnsi="Traditional Arabic" w:cs="Traditional Arabic"/>
          <w:color w:val="000000"/>
          <w:sz w:val="36"/>
          <w:szCs w:val="36"/>
          <w:rtl/>
        </w:rPr>
        <w:t xml:space="preserve"> مرجليوث، مفنَّدا ما جاء فيها جملة وتفصيلا فيكتابه المعنون بـ " عن الشعر الجاهلي</w:t>
      </w:r>
      <w:r w:rsidR="000E0D86" w:rsidRPr="00EC4195">
        <w:rPr>
          <w:rFonts w:ascii="Traditional Arabic" w:hAnsi="Traditional Arabic" w:cs="Traditional Arabic"/>
          <w:color w:val="000000"/>
          <w:sz w:val="36"/>
          <w:szCs w:val="36"/>
          <w:rtl/>
        </w:rPr>
        <w:t xml:space="preserve"> الآداب الشرقية</w:t>
      </w:r>
      <w:r w:rsidR="00EC4195" w:rsidRPr="00EC4195">
        <w:rPr>
          <w:rFonts w:ascii="Traditional Arabic" w:hAnsi="Traditional Arabic" w:cs="Traditional Arabic"/>
          <w:color w:val="000000"/>
          <w:sz w:val="36"/>
          <w:szCs w:val="36"/>
          <w:rtl/>
        </w:rPr>
        <w:t>1927، وترجمها عبد الرحمن بدوي باسم</w:t>
      </w:r>
      <w:r w:rsidR="000E0D86" w:rsidRPr="00EC4195">
        <w:rPr>
          <w:rFonts w:ascii="Traditional Arabic" w:hAnsi="Traditional Arabic" w:cs="Traditional Arabic"/>
          <w:color w:val="000000"/>
          <w:sz w:val="36"/>
          <w:szCs w:val="36"/>
          <w:rtl/>
        </w:rPr>
        <w:t>، في مسألة صحة الشعر الجاهلي</w:t>
      </w:r>
      <w:r w:rsidR="000E0D86" w:rsidRPr="00EC4195">
        <w:rPr>
          <w:rFonts w:ascii="Traditional Arabic" w:hAnsi="Traditional Arabic" w:cs="Traditional Arabic"/>
          <w:color w:val="000000"/>
          <w:sz w:val="36"/>
          <w:szCs w:val="36"/>
        </w:rPr>
        <w:t xml:space="preserve"> </w:t>
      </w:r>
      <w:r w:rsidR="00EC4195" w:rsidRPr="00EC4195">
        <w:rPr>
          <w:rStyle w:val="Appelnotedebasdep"/>
          <w:rFonts w:ascii="Traditional Arabic" w:hAnsi="Traditional Arabic" w:cs="Traditional Arabic"/>
          <w:color w:val="000000"/>
          <w:sz w:val="36"/>
          <w:szCs w:val="36"/>
        </w:rPr>
        <w:footnoteReference w:id="13"/>
      </w:r>
      <w:r w:rsidR="000E0D86" w:rsidRPr="00EC4195">
        <w:rPr>
          <w:rFonts w:ascii="Traditional Arabic" w:hAnsi="Traditional Arabic" w:cs="Traditional Arabic"/>
          <w:color w:val="000000"/>
          <w:sz w:val="36"/>
          <w:szCs w:val="36"/>
        </w:rPr>
        <w:t>"</w:t>
      </w:r>
      <w:r w:rsidR="000E0D86" w:rsidRPr="00EC4195">
        <w:rPr>
          <w:rFonts w:ascii="Traditional Arabic" w:hAnsi="Traditional Arabic" w:cs="Traditional Arabic"/>
          <w:color w:val="000000"/>
          <w:sz w:val="36"/>
          <w:szCs w:val="36"/>
          <w:rtl/>
        </w:rPr>
        <w:t>حيث يقول أرش</w:t>
      </w:r>
      <w:r w:rsidR="000E0D86" w:rsidRPr="00EC4195">
        <w:rPr>
          <w:rFonts w:ascii="Traditional Arabic" w:hAnsi="Traditional Arabic" w:cs="Traditional Arabic"/>
          <w:color w:val="000000"/>
          <w:sz w:val="36"/>
          <w:szCs w:val="36"/>
        </w:rPr>
        <w:t xml:space="preserve"> : "</w:t>
      </w:r>
      <w:r w:rsidR="00EC4195" w:rsidRPr="00EC4195">
        <w:rPr>
          <w:rFonts w:ascii="Traditional Arabic" w:hAnsi="Traditional Arabic" w:cs="Traditional Arabic"/>
          <w:color w:val="000000"/>
          <w:sz w:val="36"/>
          <w:szCs w:val="36"/>
          <w:rtl/>
        </w:rPr>
        <w:t xml:space="preserve"> ولو كانت ك</w:t>
      </w:r>
      <w:r w:rsidR="000E0D86" w:rsidRPr="00EC4195">
        <w:rPr>
          <w:rFonts w:ascii="Traditional Arabic" w:hAnsi="Traditional Arabic" w:cs="Traditional Arabic"/>
          <w:color w:val="000000"/>
          <w:sz w:val="36"/>
          <w:szCs w:val="36"/>
          <w:rtl/>
        </w:rPr>
        <w:t xml:space="preserve">ل الأشعار الجاهلية و ربما الأشعار السابقة على العصر الأموي منحولة فإنه لن </w:t>
      </w:r>
      <w:r w:rsidR="000E0D86" w:rsidRPr="00EC4195">
        <w:rPr>
          <w:rFonts w:ascii="Traditional Arabic" w:hAnsi="Traditional Arabic" w:cs="Traditional Arabic"/>
          <w:color w:val="000000"/>
          <w:sz w:val="36"/>
          <w:szCs w:val="36"/>
          <w:rtl/>
        </w:rPr>
        <w:lastRenderedPageBreak/>
        <w:t>يكون</w:t>
      </w:r>
      <w:r w:rsidR="00EC4195" w:rsidRPr="00EC4195">
        <w:rPr>
          <w:rFonts w:ascii="Traditional Arabic" w:hAnsi="Traditional Arabic" w:cs="Traditional Arabic"/>
          <w:color w:val="000000"/>
          <w:sz w:val="36"/>
          <w:szCs w:val="36"/>
          <w:rtl/>
        </w:rPr>
        <w:t xml:space="preserve"> مفهوما </w:t>
      </w:r>
      <w:r w:rsidR="000E0D86" w:rsidRPr="00EC4195">
        <w:rPr>
          <w:rFonts w:ascii="Traditional Arabic" w:hAnsi="Traditional Arabic" w:cs="Traditional Arabic"/>
          <w:color w:val="000000"/>
          <w:sz w:val="36"/>
          <w:szCs w:val="36"/>
          <w:rtl/>
        </w:rPr>
        <w:t>لماذا فضل علماء ا</w:t>
      </w:r>
      <w:r w:rsidR="00EC4195" w:rsidRPr="00EC4195">
        <w:rPr>
          <w:rFonts w:ascii="Traditional Arabic" w:hAnsi="Traditional Arabic" w:cs="Traditional Arabic"/>
          <w:color w:val="000000"/>
          <w:sz w:val="36"/>
          <w:szCs w:val="36"/>
          <w:rtl/>
        </w:rPr>
        <w:t>للغة الذين ازدهروا في هذا العصر</w:t>
      </w:r>
      <w:r w:rsidR="000E0D86" w:rsidRPr="00EC4195">
        <w:rPr>
          <w:rFonts w:ascii="Traditional Arabic" w:hAnsi="Traditional Arabic" w:cs="Traditional Arabic"/>
          <w:color w:val="000000"/>
          <w:sz w:val="36"/>
          <w:szCs w:val="36"/>
          <w:rtl/>
        </w:rPr>
        <w:t>، لاتخاذ اللغة أداة مساعدة لتفسير القرآن ، يقول</w:t>
      </w:r>
      <w:r w:rsidR="000E0D86" w:rsidRPr="00EC4195">
        <w:rPr>
          <w:rFonts w:ascii="Traditional Arabic" w:hAnsi="Traditional Arabic" w:cs="Traditional Arabic"/>
          <w:color w:val="000000"/>
          <w:sz w:val="36"/>
          <w:szCs w:val="36"/>
        </w:rPr>
        <w:t xml:space="preserve"> :</w:t>
      </w:r>
      <w:r w:rsidR="000E0D86" w:rsidRPr="00EC4195">
        <w:rPr>
          <w:rFonts w:ascii="Traditional Arabic" w:hAnsi="Traditional Arabic" w:cs="Traditional Arabic"/>
          <w:color w:val="000000"/>
          <w:sz w:val="36"/>
          <w:szCs w:val="36"/>
          <w:rtl/>
        </w:rPr>
        <w:t>لماذا فضلوا أخذ شواهده</w:t>
      </w:r>
      <w:r w:rsidR="00EC4195" w:rsidRPr="00EC4195">
        <w:rPr>
          <w:rFonts w:ascii="Traditional Arabic" w:hAnsi="Traditional Arabic" w:cs="Traditional Arabic"/>
          <w:color w:val="000000"/>
          <w:sz w:val="36"/>
          <w:szCs w:val="36"/>
          <w:rtl/>
        </w:rPr>
        <w:t>م من الشعر الجاهلي على أخذها من الشعر الأموي</w:t>
      </w:r>
      <w:r w:rsidR="000E0D86" w:rsidRPr="00EC4195">
        <w:rPr>
          <w:rFonts w:ascii="Traditional Arabic" w:hAnsi="Traditional Arabic" w:cs="Traditional Arabic"/>
          <w:color w:val="000000"/>
          <w:sz w:val="36"/>
          <w:szCs w:val="36"/>
          <w:rtl/>
        </w:rPr>
        <w:t>، لأنه أقرب إلى القرآن من لفة</w:t>
      </w:r>
      <w:r w:rsidR="00EC4195" w:rsidRPr="00EC4195">
        <w:rPr>
          <w:rFonts w:ascii="Traditional Arabic" w:hAnsi="Traditional Arabic" w:cs="Traditional Arabic"/>
          <w:color w:val="000000"/>
          <w:sz w:val="36"/>
          <w:szCs w:val="36"/>
          <w:rtl/>
        </w:rPr>
        <w:t xml:space="preserve"> </w:t>
      </w:r>
      <w:r w:rsidR="000E0D86" w:rsidRPr="00EC4195">
        <w:rPr>
          <w:rFonts w:ascii="Traditional Arabic" w:hAnsi="Traditional Arabic" w:cs="Traditional Arabic"/>
          <w:color w:val="000000"/>
          <w:sz w:val="36"/>
          <w:szCs w:val="36"/>
          <w:rtl/>
        </w:rPr>
        <w:t>الشعر الأموي</w:t>
      </w:r>
      <w:r w:rsidR="00EC4195" w:rsidRPr="00EC4195">
        <w:rPr>
          <w:rFonts w:ascii="Traditional Arabic" w:hAnsi="Traditional Arabic" w:cs="Traditional Arabic"/>
          <w:color w:val="000000"/>
          <w:sz w:val="36"/>
          <w:szCs w:val="36"/>
          <w:rtl/>
        </w:rPr>
        <w:t>"</w:t>
      </w:r>
      <w:r w:rsidR="00EC4195" w:rsidRPr="00EC4195">
        <w:rPr>
          <w:rStyle w:val="Appelnotedebasdep"/>
          <w:rFonts w:ascii="Traditional Arabic" w:hAnsi="Traditional Arabic" w:cs="Traditional Arabic"/>
          <w:color w:val="000000"/>
          <w:sz w:val="36"/>
          <w:szCs w:val="36"/>
          <w:rtl/>
        </w:rPr>
        <w:footnoteReference w:id="14"/>
      </w:r>
      <w:r w:rsidR="00EC4195" w:rsidRPr="00EC4195">
        <w:rPr>
          <w:rFonts w:ascii="Traditional Arabic" w:hAnsi="Traditional Arabic" w:cs="Traditional Arabic"/>
          <w:color w:val="000000"/>
          <w:sz w:val="36"/>
          <w:szCs w:val="36"/>
          <w:rtl/>
        </w:rPr>
        <w:t>،</w:t>
      </w:r>
      <w:r w:rsidR="000E0D86" w:rsidRPr="00EC4195">
        <w:rPr>
          <w:rFonts w:ascii="Traditional Arabic" w:hAnsi="Traditional Arabic" w:cs="Traditional Arabic"/>
          <w:color w:val="000000"/>
          <w:sz w:val="36"/>
          <w:szCs w:val="36"/>
        </w:rPr>
        <w:t xml:space="preserve"> </w:t>
      </w:r>
      <w:r w:rsidR="000E0D86" w:rsidRPr="00EC4195">
        <w:rPr>
          <w:rFonts w:ascii="Traditional Arabic" w:hAnsi="Traditional Arabic" w:cs="Traditional Arabic"/>
          <w:color w:val="000000"/>
          <w:sz w:val="36"/>
          <w:szCs w:val="36"/>
          <w:rtl/>
        </w:rPr>
        <w:t>حيث يُّ</w:t>
      </w:r>
      <w:r w:rsidR="00EC4195" w:rsidRPr="00EC4195">
        <w:rPr>
          <w:rFonts w:ascii="Traditional Arabic" w:hAnsi="Traditional Arabic" w:cs="Traditional Arabic"/>
          <w:color w:val="000000"/>
          <w:sz w:val="36"/>
          <w:szCs w:val="36"/>
          <w:rtl/>
        </w:rPr>
        <w:t>رد على حجج المستشرقين بناءا على خبرته و</w:t>
      </w:r>
      <w:r w:rsidR="000E0D86" w:rsidRPr="00EC4195">
        <w:rPr>
          <w:rFonts w:ascii="Traditional Arabic" w:hAnsi="Traditional Arabic" w:cs="Traditional Arabic"/>
          <w:color w:val="000000"/>
          <w:sz w:val="36"/>
          <w:szCs w:val="36"/>
          <w:rtl/>
        </w:rPr>
        <w:t>دراسته للأدب العربي</w:t>
      </w:r>
      <w:r w:rsidR="00EC4195" w:rsidRPr="00EC4195">
        <w:rPr>
          <w:rFonts w:ascii="Traditional Arabic" w:hAnsi="Traditional Arabic" w:cs="Traditional Arabic"/>
          <w:color w:val="000000"/>
          <w:sz w:val="36"/>
          <w:szCs w:val="36"/>
          <w:rtl/>
        </w:rPr>
        <w:t>.</w:t>
      </w:r>
    </w:p>
    <w:sectPr w:rsidR="00630F59" w:rsidRPr="00EC4195" w:rsidSect="00185143">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7500" w:rsidRDefault="00767500" w:rsidP="00645094">
      <w:pPr>
        <w:spacing w:after="0"/>
      </w:pPr>
      <w:r>
        <w:separator/>
      </w:r>
    </w:p>
  </w:endnote>
  <w:endnote w:type="continuationSeparator" w:id="1">
    <w:p w:rsidR="00767500" w:rsidRDefault="00767500" w:rsidP="0064509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525971"/>
      <w:docPartObj>
        <w:docPartGallery w:val="Page Numbers (Bottom of Page)"/>
        <w:docPartUnique/>
      </w:docPartObj>
    </w:sdtPr>
    <w:sdtContent>
      <w:p w:rsidR="00BE2FC6" w:rsidRDefault="002C5114">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3073" type="#_x0000_t65" style="position:absolute;left:0;text-align:left;margin-left:0;margin-top:664.5pt;width:29pt;height:21.6pt;z-index:251660288;mso-top-percent:70;mso-position-horizontal:left;mso-position-horizontal-relative:right-margin-area;mso-position-vertical-relative:bottom-margin-area;mso-top-percent:70" o:allowincell="f" adj="14135" strokecolor="gray [1629]" strokeweight=".25pt">
              <v:textbox style="mso-next-textbox:#_x0000_s3073">
                <w:txbxContent>
                  <w:p w:rsidR="00BE2FC6" w:rsidRDefault="002C5114">
                    <w:pPr>
                      <w:jc w:val="center"/>
                    </w:pPr>
                    <w:fldSimple w:instr=" PAGE    \* MERGEFORMAT ">
                      <w:r w:rsidR="00185143" w:rsidRPr="00185143">
                        <w:rPr>
                          <w:noProof/>
                          <w:sz w:val="16"/>
                          <w:szCs w:val="16"/>
                        </w:rPr>
                        <w:t>5</w:t>
                      </w:r>
                    </w:fldSimple>
                  </w:p>
                </w:txbxContent>
              </v:textbox>
              <w10:wrap anchorx="page"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7500" w:rsidRDefault="00767500" w:rsidP="00645094">
      <w:pPr>
        <w:bidi/>
        <w:spacing w:after="0"/>
      </w:pPr>
      <w:r>
        <w:separator/>
      </w:r>
    </w:p>
  </w:footnote>
  <w:footnote w:type="continuationSeparator" w:id="1">
    <w:p w:rsidR="00767500" w:rsidRDefault="00767500" w:rsidP="00645094">
      <w:pPr>
        <w:spacing w:after="0"/>
      </w:pPr>
      <w:r>
        <w:continuationSeparator/>
      </w:r>
    </w:p>
  </w:footnote>
  <w:footnote w:id="2">
    <w:p w:rsidR="00645094" w:rsidRPr="00B87085" w:rsidRDefault="00645094" w:rsidP="00E445E5">
      <w:pPr>
        <w:pStyle w:val="Notedebasdepage"/>
        <w:bidi/>
        <w:rPr>
          <w:rFonts w:ascii="Traditional Arabic" w:hAnsi="Traditional Arabic" w:cs="Traditional Arabic"/>
          <w:sz w:val="32"/>
          <w:szCs w:val="32"/>
          <w:rtl/>
          <w:lang w:bidi="ar-DZ"/>
        </w:rPr>
      </w:pPr>
      <w:r w:rsidRPr="00B87085">
        <w:rPr>
          <w:rStyle w:val="Appelnotedebasdep"/>
          <w:rFonts w:ascii="Traditional Arabic" w:hAnsi="Traditional Arabic" w:cs="Traditional Arabic"/>
          <w:sz w:val="32"/>
          <w:szCs w:val="32"/>
        </w:rPr>
        <w:footnoteRef/>
      </w:r>
      <w:r w:rsidRPr="00B87085">
        <w:rPr>
          <w:rFonts w:ascii="Traditional Arabic" w:hAnsi="Traditional Arabic" w:cs="Traditional Arabic"/>
          <w:sz w:val="32"/>
          <w:szCs w:val="32"/>
        </w:rPr>
        <w:t xml:space="preserve"> </w:t>
      </w:r>
      <w:r w:rsidRPr="00B87085">
        <w:rPr>
          <w:rFonts w:ascii="Traditional Arabic" w:hAnsi="Traditional Arabic" w:cs="Traditional Arabic"/>
          <w:sz w:val="32"/>
          <w:szCs w:val="32"/>
          <w:rtl/>
        </w:rPr>
        <w:t>-</w:t>
      </w:r>
      <w:r w:rsidR="00587087" w:rsidRPr="00B87085">
        <w:rPr>
          <w:rFonts w:ascii="Traditional Arabic" w:hAnsi="Traditional Arabic" w:cs="Traditional Arabic"/>
          <w:sz w:val="32"/>
          <w:szCs w:val="32"/>
          <w:rtl/>
        </w:rPr>
        <w:t xml:space="preserve"> </w:t>
      </w:r>
      <w:r w:rsidR="00E445E5" w:rsidRPr="00B87085">
        <w:rPr>
          <w:rFonts w:ascii="Traditional Arabic" w:hAnsi="Traditional Arabic" w:cs="Traditional Arabic"/>
          <w:color w:val="000000"/>
          <w:sz w:val="32"/>
          <w:szCs w:val="32"/>
          <w:rtl/>
        </w:rPr>
        <w:t>يحيى وهيب الجبوري</w:t>
      </w:r>
      <w:r w:rsidR="00587087" w:rsidRPr="00B87085">
        <w:rPr>
          <w:rFonts w:ascii="Traditional Arabic" w:hAnsi="Traditional Arabic" w:cs="Traditional Arabic"/>
          <w:color w:val="000000"/>
          <w:sz w:val="32"/>
          <w:szCs w:val="32"/>
          <w:rtl/>
        </w:rPr>
        <w:t>، المستشرقون و ا</w:t>
      </w:r>
      <w:r w:rsidR="00E445E5" w:rsidRPr="00B87085">
        <w:rPr>
          <w:rFonts w:ascii="Traditional Arabic" w:hAnsi="Traditional Arabic" w:cs="Traditional Arabic"/>
          <w:color w:val="000000"/>
          <w:sz w:val="32"/>
          <w:szCs w:val="32"/>
          <w:rtl/>
        </w:rPr>
        <w:t>لشعر الجاهلي بين الشك والتوثيق</w:t>
      </w:r>
      <w:r w:rsidR="00587087" w:rsidRPr="00B87085">
        <w:rPr>
          <w:rFonts w:ascii="Traditional Arabic" w:hAnsi="Traditional Arabic" w:cs="Traditional Arabic"/>
          <w:color w:val="000000"/>
          <w:sz w:val="32"/>
          <w:szCs w:val="32"/>
          <w:rtl/>
        </w:rPr>
        <w:t xml:space="preserve">، دار الغرب الإسلامي ، </w:t>
      </w:r>
      <w:r w:rsidR="00E445E5" w:rsidRPr="00B87085">
        <w:rPr>
          <w:rFonts w:ascii="Traditional Arabic" w:hAnsi="Traditional Arabic" w:cs="Traditional Arabic"/>
          <w:color w:val="000000"/>
          <w:sz w:val="32"/>
          <w:szCs w:val="32"/>
          <w:rtl/>
        </w:rPr>
        <w:t>ط1، 1997، ص 65.</w:t>
      </w:r>
    </w:p>
  </w:footnote>
  <w:footnote w:id="3">
    <w:p w:rsidR="00645094" w:rsidRPr="00B87085" w:rsidRDefault="00645094" w:rsidP="00645094">
      <w:pPr>
        <w:pStyle w:val="Notedebasdepage"/>
        <w:bidi/>
        <w:rPr>
          <w:rFonts w:ascii="Traditional Arabic" w:hAnsi="Traditional Arabic" w:cs="Traditional Arabic"/>
          <w:sz w:val="32"/>
          <w:szCs w:val="32"/>
          <w:rtl/>
          <w:lang w:bidi="ar-DZ"/>
        </w:rPr>
      </w:pPr>
      <w:r w:rsidRPr="00B87085">
        <w:rPr>
          <w:rStyle w:val="Appelnotedebasdep"/>
          <w:rFonts w:ascii="Traditional Arabic" w:hAnsi="Traditional Arabic" w:cs="Traditional Arabic"/>
          <w:sz w:val="32"/>
          <w:szCs w:val="32"/>
        </w:rPr>
        <w:footnoteRef/>
      </w:r>
      <w:r w:rsidRPr="00B87085">
        <w:rPr>
          <w:rFonts w:ascii="Traditional Arabic" w:hAnsi="Traditional Arabic" w:cs="Traditional Arabic"/>
          <w:sz w:val="32"/>
          <w:szCs w:val="32"/>
        </w:rPr>
        <w:t xml:space="preserve"> </w:t>
      </w:r>
      <w:r w:rsidRPr="00B87085">
        <w:rPr>
          <w:rFonts w:ascii="Traditional Arabic" w:hAnsi="Traditional Arabic" w:cs="Traditional Arabic"/>
          <w:sz w:val="32"/>
          <w:szCs w:val="32"/>
          <w:rtl/>
          <w:lang w:bidi="ar-DZ"/>
        </w:rPr>
        <w:t xml:space="preserve">- </w:t>
      </w:r>
      <w:r w:rsidR="00E445E5" w:rsidRPr="00B87085">
        <w:rPr>
          <w:rFonts w:ascii="Traditional Arabic" w:hAnsi="Traditional Arabic" w:cs="Traditional Arabic"/>
          <w:color w:val="000000"/>
          <w:sz w:val="32"/>
          <w:szCs w:val="32"/>
          <w:rtl/>
        </w:rPr>
        <w:t xml:space="preserve">عبد الرحمان بّدوي، موسوعة المستشرقين، دار العلم للملايين، بيروت، ط، </w:t>
      </w:r>
      <w:r w:rsidR="00E445E5" w:rsidRPr="00B87085">
        <w:rPr>
          <w:rFonts w:ascii="Traditional Arabic" w:hAnsi="Traditional Arabic" w:cs="Traditional Arabic"/>
          <w:color w:val="000000"/>
          <w:sz w:val="32"/>
          <w:szCs w:val="32"/>
        </w:rPr>
        <w:t>3</w:t>
      </w:r>
      <w:r w:rsidR="00E445E5" w:rsidRPr="00B87085">
        <w:rPr>
          <w:rFonts w:ascii="Traditional Arabic" w:hAnsi="Traditional Arabic" w:cs="Traditional Arabic"/>
          <w:color w:val="000000"/>
          <w:sz w:val="32"/>
          <w:szCs w:val="32"/>
          <w:rtl/>
        </w:rPr>
        <w:t xml:space="preserve"> تموز ـ يوليو </w:t>
      </w:r>
      <w:r w:rsidR="00E445E5" w:rsidRPr="00B87085">
        <w:rPr>
          <w:rFonts w:ascii="Traditional Arabic" w:hAnsi="Traditional Arabic" w:cs="Traditional Arabic"/>
          <w:color w:val="000000"/>
          <w:sz w:val="32"/>
          <w:szCs w:val="32"/>
        </w:rPr>
        <w:t>1993</w:t>
      </w:r>
      <w:r w:rsidR="00E445E5" w:rsidRPr="00B87085">
        <w:rPr>
          <w:rFonts w:ascii="Traditional Arabic" w:hAnsi="Traditional Arabic" w:cs="Traditional Arabic"/>
          <w:color w:val="000000"/>
          <w:sz w:val="32"/>
          <w:szCs w:val="32"/>
          <w:rtl/>
        </w:rPr>
        <w:t>م ، ص</w:t>
      </w:r>
      <w:r w:rsidR="00E445E5" w:rsidRPr="00B87085">
        <w:rPr>
          <w:rFonts w:ascii="Traditional Arabic" w:hAnsi="Traditional Arabic" w:cs="Traditional Arabic"/>
          <w:color w:val="000000"/>
          <w:sz w:val="32"/>
          <w:szCs w:val="32"/>
        </w:rPr>
        <w:t xml:space="preserve"> </w:t>
      </w:r>
      <w:r w:rsidR="00E445E5" w:rsidRPr="00B87085">
        <w:rPr>
          <w:rFonts w:ascii="Traditional Arabic" w:hAnsi="Traditional Arabic" w:cs="Traditional Arabic"/>
          <w:color w:val="000000"/>
          <w:sz w:val="32"/>
          <w:szCs w:val="32"/>
          <w:rtl/>
        </w:rPr>
        <w:t xml:space="preserve"> 98</w:t>
      </w:r>
      <w:r w:rsidR="00E445E5" w:rsidRPr="00B87085">
        <w:rPr>
          <w:rFonts w:ascii="Traditional Arabic" w:hAnsi="Traditional Arabic" w:cs="Traditional Arabic"/>
          <w:color w:val="000000"/>
          <w:sz w:val="32"/>
          <w:szCs w:val="32"/>
        </w:rPr>
        <w:t>.</w:t>
      </w:r>
    </w:p>
  </w:footnote>
  <w:footnote w:id="4">
    <w:p w:rsidR="00645094" w:rsidRPr="00B87085" w:rsidRDefault="00645094" w:rsidP="00645094">
      <w:pPr>
        <w:pStyle w:val="Notedebasdepage"/>
        <w:bidi/>
        <w:rPr>
          <w:rFonts w:ascii="Traditional Arabic" w:hAnsi="Traditional Arabic" w:cs="Traditional Arabic"/>
          <w:sz w:val="32"/>
          <w:szCs w:val="32"/>
          <w:rtl/>
          <w:lang w:bidi="ar-DZ"/>
        </w:rPr>
      </w:pPr>
      <w:r w:rsidRPr="00B87085">
        <w:rPr>
          <w:rStyle w:val="Appelnotedebasdep"/>
          <w:rFonts w:ascii="Traditional Arabic" w:hAnsi="Traditional Arabic" w:cs="Traditional Arabic"/>
          <w:sz w:val="32"/>
          <w:szCs w:val="32"/>
        </w:rPr>
        <w:footnoteRef/>
      </w:r>
      <w:r w:rsidRPr="00B87085">
        <w:rPr>
          <w:rFonts w:ascii="Traditional Arabic" w:hAnsi="Traditional Arabic" w:cs="Traditional Arabic"/>
          <w:sz w:val="32"/>
          <w:szCs w:val="32"/>
        </w:rPr>
        <w:t xml:space="preserve"> </w:t>
      </w:r>
      <w:r w:rsidRPr="00B87085">
        <w:rPr>
          <w:rFonts w:ascii="Traditional Arabic" w:hAnsi="Traditional Arabic" w:cs="Traditional Arabic"/>
          <w:sz w:val="32"/>
          <w:szCs w:val="32"/>
          <w:rtl/>
          <w:lang w:bidi="ar-DZ"/>
        </w:rPr>
        <w:t>-</w:t>
      </w:r>
      <w:r w:rsidR="00E445E5" w:rsidRPr="00B87085">
        <w:rPr>
          <w:rFonts w:ascii="Traditional Arabic" w:hAnsi="Traditional Arabic" w:cs="Traditional Arabic"/>
          <w:sz w:val="32"/>
          <w:szCs w:val="32"/>
          <w:rtl/>
          <w:lang w:bidi="ar-DZ"/>
        </w:rPr>
        <w:t xml:space="preserve"> المرجع نفسه، ص 127. </w:t>
      </w:r>
    </w:p>
  </w:footnote>
  <w:footnote w:id="5">
    <w:p w:rsidR="00B87085" w:rsidRPr="00B87085" w:rsidRDefault="00B87085" w:rsidP="00B87085">
      <w:pPr>
        <w:pStyle w:val="Notedebasdepage"/>
        <w:bidi/>
        <w:rPr>
          <w:rFonts w:ascii="Traditional Arabic" w:hAnsi="Traditional Arabic" w:cs="Traditional Arabic"/>
          <w:sz w:val="32"/>
          <w:szCs w:val="32"/>
          <w:rtl/>
          <w:lang w:bidi="ar-DZ"/>
        </w:rPr>
      </w:pPr>
      <w:r w:rsidRPr="00B87085">
        <w:rPr>
          <w:rStyle w:val="Appelnotedebasdep"/>
          <w:rFonts w:ascii="Traditional Arabic" w:hAnsi="Traditional Arabic" w:cs="Traditional Arabic"/>
          <w:sz w:val="32"/>
          <w:szCs w:val="32"/>
        </w:rPr>
        <w:footnoteRef/>
      </w:r>
      <w:r w:rsidRPr="00B87085">
        <w:rPr>
          <w:rFonts w:ascii="Traditional Arabic" w:hAnsi="Traditional Arabic" w:cs="Traditional Arabic"/>
          <w:sz w:val="32"/>
          <w:szCs w:val="32"/>
        </w:rPr>
        <w:t xml:space="preserve"> </w:t>
      </w:r>
      <w:r w:rsidRPr="00B87085">
        <w:rPr>
          <w:rFonts w:ascii="Traditional Arabic" w:hAnsi="Traditional Arabic" w:cs="Traditional Arabic"/>
          <w:sz w:val="32"/>
          <w:szCs w:val="32"/>
          <w:rtl/>
          <w:lang w:bidi="ar-DZ"/>
        </w:rPr>
        <w:t xml:space="preserve">- </w:t>
      </w:r>
      <w:r w:rsidRPr="00B87085">
        <w:rPr>
          <w:rFonts w:ascii="Traditional Arabic" w:hAnsi="Traditional Arabic" w:cs="Traditional Arabic"/>
          <w:color w:val="000000"/>
          <w:sz w:val="32"/>
          <w:szCs w:val="32"/>
          <w:rtl/>
        </w:rPr>
        <w:t>عبد الرحمان بّدوي، موسوعة المستشرقين، ص</w:t>
      </w:r>
      <w:r w:rsidRPr="00B87085">
        <w:rPr>
          <w:rFonts w:ascii="Traditional Arabic" w:hAnsi="Traditional Arabic" w:cs="Traditional Arabic"/>
          <w:color w:val="000000"/>
          <w:sz w:val="32"/>
          <w:szCs w:val="32"/>
        </w:rPr>
        <w:t xml:space="preserve"> </w:t>
      </w:r>
      <w:r w:rsidRPr="00B87085">
        <w:rPr>
          <w:rFonts w:ascii="Traditional Arabic" w:hAnsi="Traditional Arabic" w:cs="Traditional Arabic"/>
          <w:color w:val="000000"/>
          <w:sz w:val="32"/>
          <w:szCs w:val="32"/>
          <w:rtl/>
        </w:rPr>
        <w:t xml:space="preserve"> 117.</w:t>
      </w:r>
    </w:p>
  </w:footnote>
  <w:footnote w:id="6">
    <w:p w:rsidR="00676B53" w:rsidRPr="00B87085" w:rsidRDefault="00676B53" w:rsidP="00B87085">
      <w:pPr>
        <w:pStyle w:val="Notedebasdepage"/>
        <w:bidi/>
        <w:rPr>
          <w:rFonts w:ascii="Traditional Arabic" w:hAnsi="Traditional Arabic" w:cs="Traditional Arabic"/>
          <w:sz w:val="32"/>
          <w:szCs w:val="32"/>
          <w:rtl/>
          <w:lang w:bidi="ar-DZ"/>
        </w:rPr>
      </w:pPr>
      <w:r w:rsidRPr="00B87085">
        <w:rPr>
          <w:rStyle w:val="Appelnotedebasdep"/>
          <w:rFonts w:ascii="Traditional Arabic" w:hAnsi="Traditional Arabic" w:cs="Traditional Arabic"/>
          <w:sz w:val="32"/>
          <w:szCs w:val="32"/>
        </w:rPr>
        <w:footnoteRef/>
      </w:r>
      <w:r w:rsidRPr="00B87085">
        <w:rPr>
          <w:rFonts w:ascii="Traditional Arabic" w:hAnsi="Traditional Arabic" w:cs="Traditional Arabic"/>
          <w:sz w:val="32"/>
          <w:szCs w:val="32"/>
        </w:rPr>
        <w:t xml:space="preserve"> </w:t>
      </w:r>
      <w:r w:rsidRPr="00B87085">
        <w:rPr>
          <w:rFonts w:ascii="Traditional Arabic" w:hAnsi="Traditional Arabic" w:cs="Traditional Arabic"/>
          <w:sz w:val="32"/>
          <w:szCs w:val="32"/>
          <w:rtl/>
          <w:lang w:bidi="ar-DZ"/>
        </w:rPr>
        <w:t>-</w:t>
      </w:r>
      <w:r w:rsidR="00B87085" w:rsidRPr="00B87085">
        <w:rPr>
          <w:rFonts w:ascii="Traditional Arabic" w:hAnsi="Traditional Arabic" w:cs="Traditional Arabic"/>
          <w:sz w:val="32"/>
          <w:szCs w:val="32"/>
          <w:rtl/>
          <w:lang w:bidi="ar-DZ"/>
        </w:rPr>
        <w:t xml:space="preserve"> المرجع نفسه، ص 174.</w:t>
      </w:r>
    </w:p>
  </w:footnote>
  <w:footnote w:id="7">
    <w:p w:rsidR="00630F59" w:rsidRPr="00B87085" w:rsidRDefault="00630F59" w:rsidP="0092105E">
      <w:pPr>
        <w:pStyle w:val="Notedebasdepage"/>
        <w:bidi/>
        <w:rPr>
          <w:rFonts w:ascii="Traditional Arabic" w:hAnsi="Traditional Arabic" w:cs="Traditional Arabic"/>
          <w:sz w:val="32"/>
          <w:szCs w:val="32"/>
          <w:rtl/>
          <w:lang w:bidi="ar-DZ"/>
        </w:rPr>
      </w:pPr>
      <w:r w:rsidRPr="00B87085">
        <w:rPr>
          <w:rStyle w:val="Appelnotedebasdep"/>
          <w:rFonts w:ascii="Traditional Arabic" w:hAnsi="Traditional Arabic" w:cs="Traditional Arabic"/>
          <w:sz w:val="32"/>
          <w:szCs w:val="32"/>
        </w:rPr>
        <w:footnoteRef/>
      </w:r>
      <w:r w:rsidRPr="00B87085">
        <w:rPr>
          <w:rFonts w:ascii="Traditional Arabic" w:hAnsi="Traditional Arabic" w:cs="Traditional Arabic"/>
          <w:sz w:val="32"/>
          <w:szCs w:val="32"/>
        </w:rPr>
        <w:t xml:space="preserve"> </w:t>
      </w:r>
      <w:r w:rsidR="0092105E" w:rsidRPr="00B87085">
        <w:rPr>
          <w:rFonts w:ascii="Traditional Arabic" w:hAnsi="Traditional Arabic" w:cs="Traditional Arabic"/>
          <w:sz w:val="32"/>
          <w:szCs w:val="32"/>
          <w:rtl/>
          <w:lang w:bidi="ar-DZ"/>
        </w:rPr>
        <w:t>- ا</w:t>
      </w:r>
      <w:r w:rsidR="0092105E" w:rsidRPr="00B87085">
        <w:rPr>
          <w:rFonts w:ascii="Traditional Arabic" w:hAnsi="Traditional Arabic" w:cs="Traditional Arabic"/>
          <w:color w:val="000000"/>
          <w:sz w:val="32"/>
          <w:szCs w:val="32"/>
          <w:rtl/>
        </w:rPr>
        <w:t>لدكتور عبد الرحمن بدوي، دراسات حول صحة الشعر الجاهلي، دار العلم للملايين، ط</w:t>
      </w:r>
      <w:r w:rsidR="0092105E" w:rsidRPr="00B87085">
        <w:rPr>
          <w:rFonts w:ascii="Traditional Arabic" w:hAnsi="Traditional Arabic" w:cs="Traditional Arabic"/>
          <w:color w:val="000000"/>
          <w:sz w:val="32"/>
          <w:szCs w:val="32"/>
        </w:rPr>
        <w:t>1</w:t>
      </w:r>
      <w:r w:rsidR="0092105E" w:rsidRPr="00B87085">
        <w:rPr>
          <w:rFonts w:ascii="Traditional Arabic" w:hAnsi="Traditional Arabic" w:cs="Traditional Arabic"/>
          <w:color w:val="000000"/>
          <w:sz w:val="32"/>
          <w:szCs w:val="32"/>
          <w:rtl/>
        </w:rPr>
        <w:t xml:space="preserve"> نوفمبر 1979م ، ص</w:t>
      </w:r>
      <w:r w:rsidR="0092105E" w:rsidRPr="00B87085">
        <w:rPr>
          <w:rFonts w:ascii="Traditional Arabic" w:hAnsi="Traditional Arabic" w:cs="Traditional Arabic"/>
          <w:color w:val="000000"/>
          <w:sz w:val="32"/>
          <w:szCs w:val="32"/>
        </w:rPr>
        <w:t xml:space="preserve">. </w:t>
      </w:r>
      <w:r w:rsidR="0092105E" w:rsidRPr="00B87085">
        <w:rPr>
          <w:rFonts w:ascii="Traditional Arabic" w:hAnsi="Traditional Arabic" w:cs="Traditional Arabic"/>
          <w:color w:val="000000"/>
          <w:sz w:val="32"/>
          <w:szCs w:val="32"/>
          <w:rtl/>
        </w:rPr>
        <w:t>307، 308.</w:t>
      </w:r>
    </w:p>
  </w:footnote>
  <w:footnote w:id="8">
    <w:p w:rsidR="00630F59" w:rsidRPr="00B87085" w:rsidRDefault="00630F59" w:rsidP="00B87085">
      <w:pPr>
        <w:pStyle w:val="Notedebasdepage"/>
        <w:bidi/>
        <w:rPr>
          <w:rFonts w:ascii="Traditional Arabic" w:hAnsi="Traditional Arabic" w:cs="Traditional Arabic"/>
          <w:sz w:val="32"/>
          <w:szCs w:val="32"/>
          <w:rtl/>
          <w:lang w:bidi="ar-DZ"/>
        </w:rPr>
      </w:pPr>
      <w:r w:rsidRPr="00B87085">
        <w:rPr>
          <w:rStyle w:val="Appelnotedebasdep"/>
          <w:rFonts w:ascii="Traditional Arabic" w:hAnsi="Traditional Arabic" w:cs="Traditional Arabic"/>
          <w:sz w:val="32"/>
          <w:szCs w:val="32"/>
        </w:rPr>
        <w:footnoteRef/>
      </w:r>
      <w:r w:rsidRPr="00B87085">
        <w:rPr>
          <w:rFonts w:ascii="Traditional Arabic" w:hAnsi="Traditional Arabic" w:cs="Traditional Arabic"/>
          <w:sz w:val="32"/>
          <w:szCs w:val="32"/>
        </w:rPr>
        <w:t xml:space="preserve"> </w:t>
      </w:r>
      <w:r w:rsidRPr="00B87085">
        <w:rPr>
          <w:rFonts w:ascii="Traditional Arabic" w:hAnsi="Traditional Arabic" w:cs="Traditional Arabic"/>
          <w:sz w:val="32"/>
          <w:szCs w:val="32"/>
          <w:rtl/>
          <w:lang w:bidi="ar-DZ"/>
        </w:rPr>
        <w:t>-</w:t>
      </w:r>
      <w:r w:rsidR="0092105E" w:rsidRPr="00B87085">
        <w:rPr>
          <w:rFonts w:ascii="Traditional Arabic" w:hAnsi="Traditional Arabic" w:cs="Traditional Arabic"/>
          <w:color w:val="000000"/>
          <w:sz w:val="32"/>
          <w:szCs w:val="32"/>
          <w:rtl/>
        </w:rPr>
        <w:t xml:space="preserve"> الدكتور يحيى وهيب الجبوري ، المستشرقون و الشعر الجاهلي بين الشك و التوثيق ، ص 20</w:t>
      </w:r>
    </w:p>
  </w:footnote>
  <w:footnote w:id="9">
    <w:p w:rsidR="00630F59" w:rsidRPr="00B87085" w:rsidRDefault="00630F59" w:rsidP="0092105E">
      <w:pPr>
        <w:pStyle w:val="Notedebasdepage"/>
        <w:bidi/>
        <w:rPr>
          <w:rFonts w:ascii="Traditional Arabic" w:hAnsi="Traditional Arabic" w:cs="Traditional Arabic"/>
          <w:sz w:val="32"/>
          <w:szCs w:val="32"/>
          <w:rtl/>
          <w:lang w:bidi="ar-DZ"/>
        </w:rPr>
      </w:pPr>
      <w:r w:rsidRPr="00B87085">
        <w:rPr>
          <w:rStyle w:val="Appelnotedebasdep"/>
          <w:rFonts w:ascii="Traditional Arabic" w:hAnsi="Traditional Arabic" w:cs="Traditional Arabic"/>
          <w:sz w:val="32"/>
          <w:szCs w:val="32"/>
        </w:rPr>
        <w:footnoteRef/>
      </w:r>
      <w:r w:rsidRPr="00B87085">
        <w:rPr>
          <w:rFonts w:ascii="Traditional Arabic" w:hAnsi="Traditional Arabic" w:cs="Traditional Arabic"/>
          <w:sz w:val="32"/>
          <w:szCs w:val="32"/>
        </w:rPr>
        <w:t xml:space="preserve"> </w:t>
      </w:r>
      <w:r w:rsidRPr="00B87085">
        <w:rPr>
          <w:rFonts w:ascii="Traditional Arabic" w:hAnsi="Traditional Arabic" w:cs="Traditional Arabic"/>
          <w:sz w:val="32"/>
          <w:szCs w:val="32"/>
          <w:rtl/>
          <w:lang w:bidi="ar-DZ"/>
        </w:rPr>
        <w:t xml:space="preserve">- </w:t>
      </w:r>
      <w:r w:rsidR="0092105E" w:rsidRPr="00B87085">
        <w:rPr>
          <w:rFonts w:ascii="Traditional Arabic" w:hAnsi="Traditional Arabic" w:cs="Traditional Arabic"/>
          <w:color w:val="000000"/>
          <w:sz w:val="32"/>
          <w:szCs w:val="32"/>
          <w:rtl/>
        </w:rPr>
        <w:t xml:space="preserve">المرجع نفسه، ص 34 </w:t>
      </w:r>
      <w:r w:rsidR="0080486F" w:rsidRPr="00B87085">
        <w:rPr>
          <w:rFonts w:ascii="Traditional Arabic" w:hAnsi="Traditional Arabic" w:cs="Traditional Arabic"/>
          <w:color w:val="000000"/>
          <w:sz w:val="32"/>
          <w:szCs w:val="32"/>
          <w:rtl/>
        </w:rPr>
        <w:t>.</w:t>
      </w:r>
    </w:p>
  </w:footnote>
  <w:footnote w:id="10">
    <w:p w:rsidR="00630F59" w:rsidRPr="00B87085" w:rsidRDefault="00630F59" w:rsidP="0080486F">
      <w:pPr>
        <w:pStyle w:val="Notedebasdepage"/>
        <w:bidi/>
        <w:rPr>
          <w:rFonts w:ascii="Traditional Arabic" w:hAnsi="Traditional Arabic" w:cs="Traditional Arabic"/>
          <w:sz w:val="32"/>
          <w:szCs w:val="32"/>
          <w:rtl/>
          <w:lang w:bidi="ar-DZ"/>
        </w:rPr>
      </w:pPr>
      <w:r w:rsidRPr="00B87085">
        <w:rPr>
          <w:rStyle w:val="Appelnotedebasdep"/>
          <w:rFonts w:ascii="Traditional Arabic" w:hAnsi="Traditional Arabic" w:cs="Traditional Arabic"/>
          <w:sz w:val="32"/>
          <w:szCs w:val="32"/>
        </w:rPr>
        <w:footnoteRef/>
      </w:r>
      <w:r w:rsidRPr="00B87085">
        <w:rPr>
          <w:rFonts w:ascii="Traditional Arabic" w:hAnsi="Traditional Arabic" w:cs="Traditional Arabic"/>
          <w:sz w:val="32"/>
          <w:szCs w:val="32"/>
        </w:rPr>
        <w:t xml:space="preserve"> </w:t>
      </w:r>
      <w:r w:rsidRPr="00B87085">
        <w:rPr>
          <w:rFonts w:ascii="Traditional Arabic" w:hAnsi="Traditional Arabic" w:cs="Traditional Arabic"/>
          <w:sz w:val="32"/>
          <w:szCs w:val="32"/>
          <w:rtl/>
          <w:lang w:bidi="ar-DZ"/>
        </w:rPr>
        <w:t xml:space="preserve">- </w:t>
      </w:r>
      <w:r w:rsidR="0080486F" w:rsidRPr="00B87085">
        <w:rPr>
          <w:rFonts w:ascii="Traditional Arabic" w:hAnsi="Traditional Arabic" w:cs="Traditional Arabic"/>
          <w:color w:val="000000"/>
          <w:sz w:val="32"/>
          <w:szCs w:val="32"/>
          <w:rtl/>
        </w:rPr>
        <w:t>الدكتور يحيى وهيب الجبوري ، المستشرقون و الشعر الجاهلي بين الشك و التوثيق ، ص 54،55</w:t>
      </w:r>
      <w:r w:rsidR="0080486F" w:rsidRPr="00B87085">
        <w:rPr>
          <w:rFonts w:ascii="Traditional Arabic" w:hAnsi="Traditional Arabic" w:cs="Traditional Arabic"/>
          <w:sz w:val="32"/>
          <w:szCs w:val="32"/>
          <w:rtl/>
          <w:lang w:bidi="ar-DZ"/>
        </w:rPr>
        <w:t>.</w:t>
      </w:r>
    </w:p>
  </w:footnote>
  <w:footnote w:id="11">
    <w:p w:rsidR="000E0D86" w:rsidRPr="00B87085" w:rsidRDefault="000E0D86" w:rsidP="0080486F">
      <w:pPr>
        <w:pStyle w:val="Notedebasdepage"/>
        <w:bidi/>
        <w:rPr>
          <w:rFonts w:ascii="Traditional Arabic" w:hAnsi="Traditional Arabic" w:cs="Traditional Arabic"/>
          <w:sz w:val="32"/>
          <w:szCs w:val="32"/>
          <w:rtl/>
          <w:lang w:bidi="ar-DZ"/>
        </w:rPr>
      </w:pPr>
      <w:r w:rsidRPr="00B87085">
        <w:rPr>
          <w:rStyle w:val="Appelnotedebasdep"/>
          <w:rFonts w:ascii="Traditional Arabic" w:hAnsi="Traditional Arabic" w:cs="Traditional Arabic"/>
          <w:sz w:val="32"/>
          <w:szCs w:val="32"/>
        </w:rPr>
        <w:footnoteRef/>
      </w:r>
      <w:r w:rsidRPr="00B87085">
        <w:rPr>
          <w:rFonts w:ascii="Traditional Arabic" w:hAnsi="Traditional Arabic" w:cs="Traditional Arabic"/>
          <w:sz w:val="32"/>
          <w:szCs w:val="32"/>
        </w:rPr>
        <w:t xml:space="preserve"> </w:t>
      </w:r>
      <w:r w:rsidRPr="00B87085">
        <w:rPr>
          <w:rFonts w:ascii="Traditional Arabic" w:hAnsi="Traditional Arabic" w:cs="Traditional Arabic"/>
          <w:sz w:val="32"/>
          <w:szCs w:val="32"/>
          <w:rtl/>
          <w:lang w:bidi="ar-DZ"/>
        </w:rPr>
        <w:t xml:space="preserve">- </w:t>
      </w:r>
      <w:r w:rsidR="0080486F" w:rsidRPr="00B87085">
        <w:rPr>
          <w:rFonts w:ascii="Traditional Arabic" w:hAnsi="Traditional Arabic" w:cs="Traditional Arabic"/>
          <w:color w:val="000000"/>
          <w:sz w:val="32"/>
          <w:szCs w:val="32"/>
          <w:rtl/>
        </w:rPr>
        <w:t>المرجع نفسه، ص 42.</w:t>
      </w:r>
    </w:p>
  </w:footnote>
  <w:footnote w:id="12">
    <w:p w:rsidR="00EC4195" w:rsidRPr="00B87085" w:rsidRDefault="00EC4195" w:rsidP="0092105E">
      <w:pPr>
        <w:pStyle w:val="Notedebasdepage"/>
        <w:bidi/>
        <w:rPr>
          <w:rFonts w:ascii="Traditional Arabic" w:hAnsi="Traditional Arabic" w:cs="Traditional Arabic"/>
          <w:sz w:val="32"/>
          <w:szCs w:val="32"/>
          <w:rtl/>
          <w:lang w:bidi="ar-DZ"/>
        </w:rPr>
      </w:pPr>
      <w:r w:rsidRPr="00B87085">
        <w:rPr>
          <w:rStyle w:val="Appelnotedebasdep"/>
          <w:rFonts w:ascii="Traditional Arabic" w:hAnsi="Traditional Arabic" w:cs="Traditional Arabic"/>
          <w:sz w:val="32"/>
          <w:szCs w:val="32"/>
        </w:rPr>
        <w:footnoteRef/>
      </w:r>
      <w:r w:rsidRPr="00B87085">
        <w:rPr>
          <w:rFonts w:ascii="Traditional Arabic" w:hAnsi="Traditional Arabic" w:cs="Traditional Arabic"/>
          <w:sz w:val="32"/>
          <w:szCs w:val="32"/>
        </w:rPr>
        <w:t xml:space="preserve"> </w:t>
      </w:r>
      <w:r w:rsidRPr="00B87085">
        <w:rPr>
          <w:rFonts w:ascii="Traditional Arabic" w:hAnsi="Traditional Arabic" w:cs="Traditional Arabic"/>
          <w:sz w:val="32"/>
          <w:szCs w:val="32"/>
          <w:rtl/>
          <w:lang w:bidi="ar-DZ"/>
        </w:rPr>
        <w:t>-</w:t>
      </w:r>
      <w:r w:rsidR="0080486F" w:rsidRPr="00B87085">
        <w:rPr>
          <w:rFonts w:ascii="Traditional Arabic" w:hAnsi="Traditional Arabic" w:cs="Traditional Arabic"/>
          <w:sz w:val="32"/>
          <w:szCs w:val="32"/>
          <w:rtl/>
          <w:lang w:bidi="ar-DZ"/>
        </w:rPr>
        <w:t>.</w:t>
      </w:r>
      <w:r w:rsidR="0092105E" w:rsidRPr="00B87085">
        <w:rPr>
          <w:rStyle w:val="fontstyle01"/>
          <w:sz w:val="32"/>
          <w:szCs w:val="32"/>
          <w:rtl/>
        </w:rPr>
        <w:t xml:space="preserve"> </w:t>
      </w:r>
      <w:r w:rsidR="0092105E" w:rsidRPr="00B87085">
        <w:rPr>
          <w:rFonts w:ascii="Traditional Arabic" w:hAnsi="Traditional Arabic" w:cs="Traditional Arabic"/>
          <w:color w:val="000000"/>
          <w:sz w:val="32"/>
          <w:szCs w:val="32"/>
          <w:rtl/>
        </w:rPr>
        <w:t>مالك بن نبي، الظاهرة القرآنية ، ترجمة عبد الصبور شاهين ، دار الفكر، دمشق ـ سورية ،ط7، 1987، ص22.</w:t>
      </w:r>
    </w:p>
  </w:footnote>
  <w:footnote w:id="13">
    <w:p w:rsidR="00EC4195" w:rsidRPr="00B87085" w:rsidRDefault="00EC4195" w:rsidP="00EC4195">
      <w:pPr>
        <w:pStyle w:val="Notedebasdepage"/>
        <w:bidi/>
        <w:rPr>
          <w:rFonts w:ascii="Traditional Arabic" w:hAnsi="Traditional Arabic" w:cs="Traditional Arabic"/>
          <w:sz w:val="32"/>
          <w:szCs w:val="32"/>
          <w:rtl/>
          <w:lang w:bidi="ar-DZ"/>
        </w:rPr>
      </w:pPr>
      <w:r w:rsidRPr="00B87085">
        <w:rPr>
          <w:rStyle w:val="Appelnotedebasdep"/>
          <w:rFonts w:ascii="Traditional Arabic" w:hAnsi="Traditional Arabic" w:cs="Traditional Arabic"/>
          <w:sz w:val="32"/>
          <w:szCs w:val="32"/>
        </w:rPr>
        <w:footnoteRef/>
      </w:r>
      <w:r w:rsidRPr="00B87085">
        <w:rPr>
          <w:rFonts w:ascii="Traditional Arabic" w:hAnsi="Traditional Arabic" w:cs="Traditional Arabic"/>
          <w:sz w:val="32"/>
          <w:szCs w:val="32"/>
        </w:rPr>
        <w:t xml:space="preserve"> </w:t>
      </w:r>
      <w:r w:rsidRPr="00B87085">
        <w:rPr>
          <w:rFonts w:ascii="Traditional Arabic" w:hAnsi="Traditional Arabic" w:cs="Traditional Arabic"/>
          <w:sz w:val="32"/>
          <w:szCs w:val="32"/>
          <w:rtl/>
          <w:lang w:bidi="ar-DZ"/>
        </w:rPr>
        <w:t xml:space="preserve">- </w:t>
      </w:r>
      <w:r w:rsidR="0092105E" w:rsidRPr="00B87085">
        <w:rPr>
          <w:rFonts w:ascii="Traditional Arabic" w:hAnsi="Traditional Arabic" w:cs="Traditional Arabic"/>
          <w:color w:val="000000"/>
          <w:sz w:val="32"/>
          <w:szCs w:val="32"/>
          <w:rtl/>
        </w:rPr>
        <w:t>لدكتور يحيى وهيب الجبوري ، المستشرقون و الشعر الجاهلي بين الشك و التوثيق ، ص 54.</w:t>
      </w:r>
    </w:p>
  </w:footnote>
  <w:footnote w:id="14">
    <w:p w:rsidR="00EC4195" w:rsidRPr="00B87085" w:rsidRDefault="00EC4195" w:rsidP="00EC4195">
      <w:pPr>
        <w:pStyle w:val="Notedebasdepage"/>
        <w:bidi/>
        <w:rPr>
          <w:rFonts w:ascii="Traditional Arabic" w:hAnsi="Traditional Arabic" w:cs="Traditional Arabic"/>
          <w:sz w:val="32"/>
          <w:szCs w:val="32"/>
          <w:rtl/>
          <w:lang w:bidi="ar-DZ"/>
        </w:rPr>
      </w:pPr>
      <w:r w:rsidRPr="00B87085">
        <w:rPr>
          <w:rStyle w:val="Appelnotedebasdep"/>
          <w:rFonts w:ascii="Traditional Arabic" w:hAnsi="Traditional Arabic" w:cs="Traditional Arabic"/>
          <w:sz w:val="32"/>
          <w:szCs w:val="32"/>
        </w:rPr>
        <w:footnoteRef/>
      </w:r>
      <w:r w:rsidRPr="00B87085">
        <w:rPr>
          <w:rFonts w:ascii="Traditional Arabic" w:hAnsi="Traditional Arabic" w:cs="Traditional Arabic"/>
          <w:sz w:val="32"/>
          <w:szCs w:val="32"/>
        </w:rPr>
        <w:t xml:space="preserve"> </w:t>
      </w:r>
      <w:r w:rsidRPr="00B87085">
        <w:rPr>
          <w:rFonts w:ascii="Traditional Arabic" w:hAnsi="Traditional Arabic" w:cs="Traditional Arabic"/>
          <w:sz w:val="32"/>
          <w:szCs w:val="32"/>
          <w:rtl/>
          <w:lang w:bidi="ar-DZ"/>
        </w:rPr>
        <w:t>-</w:t>
      </w:r>
      <w:r w:rsidR="0092105E" w:rsidRPr="00B87085">
        <w:rPr>
          <w:rFonts w:ascii="Traditional Arabic" w:hAnsi="Traditional Arabic" w:cs="Traditional Arabic"/>
          <w:sz w:val="32"/>
          <w:szCs w:val="32"/>
          <w:rtl/>
          <w:lang w:bidi="ar-DZ"/>
        </w:rPr>
        <w:t xml:space="preserve"> المرجع نفسه، ص 63.</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6146"/>
    <o:shapelayout v:ext="edit">
      <o:idmap v:ext="edit" data="3"/>
    </o:shapelayout>
  </w:hdrShapeDefaults>
  <w:footnotePr>
    <w:footnote w:id="0"/>
    <w:footnote w:id="1"/>
  </w:footnotePr>
  <w:endnotePr>
    <w:endnote w:id="0"/>
    <w:endnote w:id="1"/>
  </w:endnotePr>
  <w:compat/>
  <w:rsids>
    <w:rsidRoot w:val="00A83FF4"/>
    <w:rsid w:val="000E0D86"/>
    <w:rsid w:val="00185143"/>
    <w:rsid w:val="001B4F08"/>
    <w:rsid w:val="002C5114"/>
    <w:rsid w:val="002E6F00"/>
    <w:rsid w:val="00587087"/>
    <w:rsid w:val="00630F59"/>
    <w:rsid w:val="00645094"/>
    <w:rsid w:val="006670CC"/>
    <w:rsid w:val="00676B53"/>
    <w:rsid w:val="00767500"/>
    <w:rsid w:val="0080486F"/>
    <w:rsid w:val="00900EB0"/>
    <w:rsid w:val="0092105E"/>
    <w:rsid w:val="009507A8"/>
    <w:rsid w:val="00A83FF4"/>
    <w:rsid w:val="00B87085"/>
    <w:rsid w:val="00BE2FC6"/>
    <w:rsid w:val="00C174AD"/>
    <w:rsid w:val="00DC388F"/>
    <w:rsid w:val="00E445E5"/>
    <w:rsid w:val="00E904BD"/>
    <w:rsid w:val="00EC419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7A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fontstyle01">
    <w:name w:val="fontstyle01"/>
    <w:basedOn w:val="Policepardfaut"/>
    <w:rsid w:val="00645094"/>
    <w:rPr>
      <w:rFonts w:ascii="Traditional Arabic" w:hAnsi="Traditional Arabic" w:cs="Traditional Arabic" w:hint="default"/>
      <w:b w:val="0"/>
      <w:bCs w:val="0"/>
      <w:i w:val="0"/>
      <w:iCs w:val="0"/>
      <w:color w:val="000000"/>
      <w:sz w:val="36"/>
      <w:szCs w:val="36"/>
    </w:rPr>
  </w:style>
  <w:style w:type="character" w:customStyle="1" w:styleId="fontstyle21">
    <w:name w:val="fontstyle21"/>
    <w:basedOn w:val="Policepardfaut"/>
    <w:rsid w:val="00645094"/>
    <w:rPr>
      <w:rFonts w:ascii="Traditional Arabic" w:hAnsi="Traditional Arabic" w:cs="Traditional Arabic" w:hint="default"/>
      <w:b/>
      <w:bCs/>
      <w:i w:val="0"/>
      <w:iCs w:val="0"/>
      <w:color w:val="000000"/>
      <w:sz w:val="36"/>
      <w:szCs w:val="36"/>
    </w:rPr>
  </w:style>
  <w:style w:type="character" w:customStyle="1" w:styleId="fontstyle31">
    <w:name w:val="fontstyle31"/>
    <w:basedOn w:val="Policepardfaut"/>
    <w:rsid w:val="00645094"/>
    <w:rPr>
      <w:rFonts w:ascii="Times New Roman" w:hAnsi="Times New Roman" w:cs="Times New Roman" w:hint="default"/>
      <w:b w:val="0"/>
      <w:bCs w:val="0"/>
      <w:i w:val="0"/>
      <w:iCs w:val="0"/>
      <w:color w:val="000000"/>
      <w:sz w:val="22"/>
      <w:szCs w:val="22"/>
    </w:rPr>
  </w:style>
  <w:style w:type="paragraph" w:styleId="Notedebasdepage">
    <w:name w:val="footnote text"/>
    <w:basedOn w:val="Normal"/>
    <w:link w:val="NotedebasdepageCar"/>
    <w:uiPriority w:val="99"/>
    <w:semiHidden/>
    <w:unhideWhenUsed/>
    <w:rsid w:val="00645094"/>
    <w:pPr>
      <w:spacing w:after="0"/>
    </w:pPr>
    <w:rPr>
      <w:sz w:val="20"/>
      <w:szCs w:val="20"/>
    </w:rPr>
  </w:style>
  <w:style w:type="character" w:customStyle="1" w:styleId="NotedebasdepageCar">
    <w:name w:val="Note de bas de page Car"/>
    <w:basedOn w:val="Policepardfaut"/>
    <w:link w:val="Notedebasdepage"/>
    <w:uiPriority w:val="99"/>
    <w:semiHidden/>
    <w:rsid w:val="00645094"/>
    <w:rPr>
      <w:sz w:val="20"/>
      <w:szCs w:val="20"/>
    </w:rPr>
  </w:style>
  <w:style w:type="character" w:styleId="Appelnotedebasdep">
    <w:name w:val="footnote reference"/>
    <w:basedOn w:val="Policepardfaut"/>
    <w:uiPriority w:val="99"/>
    <w:semiHidden/>
    <w:unhideWhenUsed/>
    <w:rsid w:val="00645094"/>
    <w:rPr>
      <w:vertAlign w:val="superscript"/>
    </w:rPr>
  </w:style>
  <w:style w:type="paragraph" w:styleId="En-tte">
    <w:name w:val="header"/>
    <w:basedOn w:val="Normal"/>
    <w:link w:val="En-tteCar"/>
    <w:uiPriority w:val="99"/>
    <w:semiHidden/>
    <w:unhideWhenUsed/>
    <w:rsid w:val="00BE2FC6"/>
    <w:pPr>
      <w:tabs>
        <w:tab w:val="center" w:pos="4536"/>
        <w:tab w:val="right" w:pos="9072"/>
      </w:tabs>
      <w:spacing w:after="0"/>
    </w:pPr>
  </w:style>
  <w:style w:type="character" w:customStyle="1" w:styleId="En-tteCar">
    <w:name w:val="En-tête Car"/>
    <w:basedOn w:val="Policepardfaut"/>
    <w:link w:val="En-tte"/>
    <w:uiPriority w:val="99"/>
    <w:semiHidden/>
    <w:rsid w:val="00BE2FC6"/>
  </w:style>
  <w:style w:type="paragraph" w:styleId="Pieddepage">
    <w:name w:val="footer"/>
    <w:basedOn w:val="Normal"/>
    <w:link w:val="PieddepageCar"/>
    <w:uiPriority w:val="99"/>
    <w:semiHidden/>
    <w:unhideWhenUsed/>
    <w:rsid w:val="00BE2FC6"/>
    <w:pPr>
      <w:tabs>
        <w:tab w:val="center" w:pos="4536"/>
        <w:tab w:val="right" w:pos="9072"/>
      </w:tabs>
      <w:spacing w:after="0"/>
    </w:pPr>
  </w:style>
  <w:style w:type="character" w:customStyle="1" w:styleId="PieddepageCar">
    <w:name w:val="Pied de page Car"/>
    <w:basedOn w:val="Policepardfaut"/>
    <w:link w:val="Pieddepage"/>
    <w:uiPriority w:val="99"/>
    <w:semiHidden/>
    <w:rsid w:val="00BE2FC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84BB1-ACE7-44B4-B66F-7BB6F2E95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986</Words>
  <Characters>5423</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Sara</cp:lastModifiedBy>
  <cp:revision>12</cp:revision>
  <dcterms:created xsi:type="dcterms:W3CDTF">2026-01-30T16:37:00Z</dcterms:created>
  <dcterms:modified xsi:type="dcterms:W3CDTF">2026-02-11T14:38:00Z</dcterms:modified>
</cp:coreProperties>
</file>