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D9A" w:rsidRDefault="00113D9A" w:rsidP="00112C60">
      <w:pPr>
        <w:bidi/>
        <w:rPr>
          <w:rFonts w:ascii="Traditional Arabic" w:hAnsi="Traditional Arabic" w:cs="Traditional Arabic"/>
          <w:b/>
          <w:bCs/>
          <w:color w:val="984806" w:themeColor="accent6" w:themeShade="80"/>
          <w:sz w:val="36"/>
          <w:szCs w:val="36"/>
          <w:rtl/>
          <w:lang w:bidi="ar-DZ"/>
        </w:rPr>
      </w:pPr>
      <w:r w:rsidRPr="003D3F36">
        <w:rPr>
          <w:rFonts w:ascii="Traditional Arabic" w:hAnsi="Traditional Arabic" w:cs="Traditional Arabic" w:hint="cs"/>
          <w:b/>
          <w:bCs/>
          <w:color w:val="984806" w:themeColor="accent6" w:themeShade="80"/>
          <w:sz w:val="36"/>
          <w:szCs w:val="36"/>
          <w:rtl/>
          <w:lang w:bidi="ar-DZ"/>
        </w:rPr>
        <w:t xml:space="preserve">المحاضرة </w:t>
      </w:r>
      <w:r w:rsidR="00112C60">
        <w:rPr>
          <w:rFonts w:ascii="Traditional Arabic" w:hAnsi="Traditional Arabic" w:cs="Traditional Arabic" w:hint="cs"/>
          <w:b/>
          <w:bCs/>
          <w:color w:val="984806" w:themeColor="accent6" w:themeShade="80"/>
          <w:sz w:val="36"/>
          <w:szCs w:val="36"/>
          <w:rtl/>
          <w:lang w:bidi="ar-DZ"/>
        </w:rPr>
        <w:t>الرابعة</w:t>
      </w:r>
      <w:r w:rsidRPr="003D3F36">
        <w:rPr>
          <w:rFonts w:ascii="Traditional Arabic" w:hAnsi="Traditional Arabic" w:cs="Traditional Arabic" w:hint="cs"/>
          <w:b/>
          <w:bCs/>
          <w:color w:val="984806" w:themeColor="accent6" w:themeShade="80"/>
          <w:sz w:val="36"/>
          <w:szCs w:val="36"/>
          <w:rtl/>
          <w:lang w:bidi="ar-DZ"/>
        </w:rPr>
        <w:t>:</w:t>
      </w:r>
    </w:p>
    <w:p w:rsidR="00FE6868" w:rsidRDefault="00FE6868" w:rsidP="00FE6868">
      <w:pPr>
        <w:bidi/>
        <w:rPr>
          <w:rFonts w:ascii="Traditional Arabic" w:hAnsi="Traditional Arabic" w:cs="Traditional Arabic"/>
          <w:b/>
          <w:bCs/>
          <w:color w:val="4F6228" w:themeColor="accent3" w:themeShade="80"/>
          <w:sz w:val="36"/>
          <w:szCs w:val="36"/>
          <w:rtl/>
          <w:lang w:bidi="ar-DZ"/>
        </w:rPr>
      </w:pPr>
      <w:r w:rsidRPr="00321208">
        <w:rPr>
          <w:rFonts w:ascii="Traditional Arabic" w:hAnsi="Traditional Arabic" w:cs="Traditional Arabic" w:hint="cs"/>
          <w:b/>
          <w:bCs/>
          <w:color w:val="4F6228" w:themeColor="accent3" w:themeShade="80"/>
          <w:sz w:val="36"/>
          <w:szCs w:val="36"/>
          <w:rtl/>
          <w:lang w:bidi="ar-DZ"/>
        </w:rPr>
        <w:t>مناهج المستشرقين؛ المنهج التاريخي، المنهج الإسقاطي، منهج الأثر والتأثر، منهج المطابقة.</w:t>
      </w:r>
    </w:p>
    <w:p w:rsidR="00FE6868" w:rsidRDefault="00FE6868" w:rsidP="00FE6868">
      <w:pPr>
        <w:bidi/>
        <w:rPr>
          <w:rFonts w:ascii="Traditional Arabic" w:hAnsi="Traditional Arabic" w:cs="Traditional Arabic"/>
          <w:color w:val="000000" w:themeColor="text1"/>
          <w:sz w:val="36"/>
          <w:szCs w:val="36"/>
          <w:rtl/>
          <w:lang w:bidi="ar-DZ"/>
        </w:rPr>
      </w:pPr>
      <w:r>
        <w:rPr>
          <w:rFonts w:ascii="Traditional Arabic" w:hAnsi="Traditional Arabic" w:cs="Traditional Arabic" w:hint="cs"/>
          <w:color w:val="000000" w:themeColor="text1"/>
          <w:sz w:val="36"/>
          <w:szCs w:val="36"/>
          <w:rtl/>
          <w:lang w:bidi="ar-DZ"/>
        </w:rPr>
        <w:t xml:space="preserve">  تنوعت وتعددت المناهج الدراسية لدى المستشرقين وذلك سببه تنوع المدارس والعصر الذي كتبوا فيه. من أساسيات أي المنهج الموضوعية في البحث والتّحليل، لكن المستشرقون خالفوا هذا المبدأ حيث قاموا بتزييف الوقائع والدراسات في كثير من الأحيان، وهذا نتيجة للتعصب  والروح الحاقدة على المسلمين، هناك من تظاهر بالموضوعية لكن الخبايا كانت بعيدة عن ذلك وهناك من كان قريبا من الموضوعية ولكنهم قلة قليلة. ومن أهم مناهج المستشرقين نجد:</w:t>
      </w:r>
    </w:p>
    <w:p w:rsidR="00FE6868" w:rsidRDefault="00FE6868" w:rsidP="00FE6868">
      <w:pPr>
        <w:bidi/>
        <w:rPr>
          <w:rFonts w:ascii="Traditional Arabic" w:hAnsi="Traditional Arabic" w:cs="Traditional Arabic"/>
          <w:b/>
          <w:bCs/>
          <w:color w:val="4F6228" w:themeColor="accent3" w:themeShade="80"/>
          <w:sz w:val="36"/>
          <w:szCs w:val="36"/>
          <w:rtl/>
          <w:lang w:bidi="ar-DZ"/>
        </w:rPr>
      </w:pPr>
      <w:r w:rsidRPr="00F445B8">
        <w:rPr>
          <w:rFonts w:ascii="Traditional Arabic" w:hAnsi="Traditional Arabic" w:cs="Traditional Arabic" w:hint="cs"/>
          <w:b/>
          <w:bCs/>
          <w:color w:val="4F6228" w:themeColor="accent3" w:themeShade="80"/>
          <w:sz w:val="36"/>
          <w:szCs w:val="36"/>
          <w:rtl/>
          <w:lang w:bidi="ar-DZ"/>
        </w:rPr>
        <w:t>1- المنهج التاريخي:</w:t>
      </w:r>
    </w:p>
    <w:p w:rsidR="00FE6868" w:rsidRDefault="00FE6868" w:rsidP="00FE6868">
      <w:pPr>
        <w:bidi/>
        <w:rPr>
          <w:rFonts w:ascii="Traditional Arabic" w:hAnsi="Traditional Arabic" w:cs="Traditional Arabic"/>
          <w:color w:val="000000" w:themeColor="text1"/>
          <w:sz w:val="36"/>
          <w:szCs w:val="36"/>
          <w:rtl/>
          <w:lang w:bidi="ar-DZ"/>
        </w:rPr>
      </w:pPr>
      <w:r>
        <w:rPr>
          <w:rFonts w:ascii="Traditional Arabic" w:hAnsi="Traditional Arabic" w:cs="Traditional Arabic" w:hint="cs"/>
          <w:color w:val="4F6228" w:themeColor="accent3" w:themeShade="80"/>
          <w:sz w:val="36"/>
          <w:szCs w:val="36"/>
          <w:rtl/>
          <w:lang w:bidi="ar-DZ"/>
        </w:rPr>
        <w:t xml:space="preserve"> </w:t>
      </w:r>
      <w:r w:rsidRPr="00F445B8">
        <w:rPr>
          <w:rFonts w:ascii="Traditional Arabic" w:hAnsi="Traditional Arabic" w:cs="Traditional Arabic" w:hint="cs"/>
          <w:color w:val="000000" w:themeColor="text1"/>
          <w:sz w:val="36"/>
          <w:szCs w:val="36"/>
          <w:rtl/>
          <w:lang w:bidi="ar-DZ"/>
        </w:rPr>
        <w:t xml:space="preserve">يعدّ من أهم </w:t>
      </w:r>
      <w:r>
        <w:rPr>
          <w:rFonts w:ascii="Traditional Arabic" w:hAnsi="Traditional Arabic" w:cs="Traditional Arabic" w:hint="cs"/>
          <w:color w:val="000000" w:themeColor="text1"/>
          <w:sz w:val="36"/>
          <w:szCs w:val="36"/>
          <w:rtl/>
          <w:lang w:bidi="ar-DZ"/>
        </w:rPr>
        <w:t xml:space="preserve">مناهج البحث العلمي التي شغلت دراسات المستشرقين، ويستخدم المنهج التاريخي في الدراسات الإستشراقية للتراث من خلال دراسة ظواهره وأحداثه وتفسيرها بالرجوع إلى أصلها وتحديد التّغيرات والتّطورات التي تعرضت لها ومرت عليها، والعوامل والأسباب المسؤولة عن ذلك والتي منحتها صورتها الحالية وذلك من خلال وضع الأدلة المأخوذة من الوثائق والسجلات التراثية، أو المخطوطات مع بعضها بطريقة منطقية والاعتماد على هذه الأدلة في تكوين النتائج عن التراث العربي والإسلامي. والمنهج </w:t>
      </w:r>
      <w:r w:rsidRPr="00086A8C">
        <w:rPr>
          <w:rFonts w:ascii="Traditional Arabic" w:hAnsi="Traditional Arabic" w:cs="Traditional Arabic" w:hint="cs"/>
          <w:b/>
          <w:bCs/>
          <w:color w:val="000000" w:themeColor="text1"/>
          <w:sz w:val="36"/>
          <w:szCs w:val="36"/>
          <w:rtl/>
          <w:lang w:bidi="ar-DZ"/>
        </w:rPr>
        <w:t>التاريخي</w:t>
      </w:r>
      <w:r>
        <w:rPr>
          <w:rFonts w:ascii="Traditional Arabic" w:hAnsi="Traditional Arabic" w:cs="Traditional Arabic" w:hint="cs"/>
          <w:color w:val="000000" w:themeColor="text1"/>
          <w:sz w:val="36"/>
          <w:szCs w:val="36"/>
          <w:rtl/>
          <w:lang w:bidi="ar-DZ"/>
        </w:rPr>
        <w:t xml:space="preserve"> عن المستشرقين يختلف عن </w:t>
      </w:r>
      <w:r w:rsidRPr="00086A8C">
        <w:rPr>
          <w:rFonts w:ascii="Traditional Arabic" w:hAnsi="Traditional Arabic" w:cs="Traditional Arabic" w:hint="cs"/>
          <w:b/>
          <w:bCs/>
          <w:color w:val="000000" w:themeColor="text1"/>
          <w:sz w:val="36"/>
          <w:szCs w:val="36"/>
          <w:rtl/>
          <w:lang w:bidi="ar-DZ"/>
        </w:rPr>
        <w:t>التحليلي</w:t>
      </w:r>
      <w:r>
        <w:rPr>
          <w:rFonts w:ascii="Traditional Arabic" w:hAnsi="Traditional Arabic" w:cs="Traditional Arabic" w:hint="cs"/>
          <w:color w:val="000000" w:themeColor="text1"/>
          <w:sz w:val="36"/>
          <w:szCs w:val="36"/>
          <w:rtl/>
          <w:lang w:bidi="ar-DZ"/>
        </w:rPr>
        <w:t>، حيث الأول يقوم باستبدال واقعة مادية بالظاهرة الفكرية والثاني يقوم بتفتيت هذه الظاهرة وردها إلى عناصرها الأولية. أما عن أهمية المنهج التاريخي لدراسة الاستشراق فتكمن في: أنه يعدّ عملية منظمة وموضوعية لاكتشاف الأدلة وتحديدها وتقيييمها والربط بينها من أجل إثبات حقائق معينة والخروج منها باستنتاجات تتعلق بأحداث في الماضي. بالإضافة إلى قدرت على توظيف الماضي للتنبؤ بالمستقبل، واستخدام الحاضر لتفسير الماضي</w:t>
      </w:r>
      <w:r>
        <w:rPr>
          <w:rStyle w:val="Appelnotedebasdep"/>
          <w:rFonts w:ascii="Traditional Arabic" w:hAnsi="Traditional Arabic" w:cs="Traditional Arabic"/>
          <w:color w:val="000000" w:themeColor="text1"/>
          <w:sz w:val="36"/>
          <w:szCs w:val="36"/>
          <w:rtl/>
          <w:lang w:bidi="ar-DZ"/>
        </w:rPr>
        <w:footnoteReference w:id="2"/>
      </w:r>
      <w:r>
        <w:rPr>
          <w:rFonts w:ascii="Traditional Arabic" w:hAnsi="Traditional Arabic" w:cs="Traditional Arabic" w:hint="cs"/>
          <w:color w:val="000000" w:themeColor="text1"/>
          <w:sz w:val="36"/>
          <w:szCs w:val="36"/>
          <w:rtl/>
          <w:lang w:bidi="ar-DZ"/>
        </w:rPr>
        <w:t>. وتعدّ دراسات "</w:t>
      </w:r>
      <w:r w:rsidRPr="00512116">
        <w:rPr>
          <w:rFonts w:ascii="Traditional Arabic" w:hAnsi="Traditional Arabic" w:cs="Traditional Arabic" w:hint="cs"/>
          <w:b/>
          <w:bCs/>
          <w:color w:val="000000" w:themeColor="text1"/>
          <w:sz w:val="36"/>
          <w:szCs w:val="36"/>
          <w:rtl/>
          <w:lang w:bidi="ar-DZ"/>
        </w:rPr>
        <w:t>لامنس وكستر</w:t>
      </w:r>
      <w:r>
        <w:rPr>
          <w:rFonts w:ascii="Traditional Arabic" w:hAnsi="Traditional Arabic" w:cs="Traditional Arabic" w:hint="cs"/>
          <w:b/>
          <w:bCs/>
          <w:color w:val="000000" w:themeColor="text1"/>
          <w:sz w:val="36"/>
          <w:szCs w:val="36"/>
          <w:rtl/>
          <w:lang w:bidi="ar-DZ"/>
        </w:rPr>
        <w:t xml:space="preserve">" </w:t>
      </w:r>
      <w:r w:rsidRPr="00512116">
        <w:rPr>
          <w:rFonts w:ascii="Traditional Arabic" w:hAnsi="Traditional Arabic" w:cs="Traditional Arabic" w:hint="cs"/>
          <w:color w:val="000000" w:themeColor="text1"/>
          <w:sz w:val="36"/>
          <w:szCs w:val="36"/>
          <w:rtl/>
          <w:lang w:bidi="ar-DZ"/>
        </w:rPr>
        <w:t>(النظام العسكري في مكة المكرمة زمن الهجرة ودور الأحباش فيه)</w:t>
      </w:r>
      <w:r>
        <w:rPr>
          <w:rFonts w:ascii="Traditional Arabic" w:hAnsi="Traditional Arabic" w:cs="Traditional Arabic" w:hint="cs"/>
          <w:b/>
          <w:bCs/>
          <w:color w:val="000000" w:themeColor="text1"/>
          <w:sz w:val="36"/>
          <w:szCs w:val="36"/>
          <w:rtl/>
          <w:lang w:bidi="ar-DZ"/>
        </w:rPr>
        <w:t xml:space="preserve"> </w:t>
      </w:r>
      <w:r w:rsidRPr="00512116">
        <w:rPr>
          <w:rFonts w:ascii="Traditional Arabic" w:hAnsi="Traditional Arabic" w:cs="Traditional Arabic" w:hint="cs"/>
          <w:color w:val="000000" w:themeColor="text1"/>
          <w:sz w:val="36"/>
          <w:szCs w:val="36"/>
          <w:rtl/>
          <w:lang w:bidi="ar-DZ"/>
        </w:rPr>
        <w:t>من أبرز</w:t>
      </w:r>
      <w:r>
        <w:rPr>
          <w:rFonts w:ascii="Traditional Arabic" w:hAnsi="Traditional Arabic" w:cs="Traditional Arabic" w:hint="cs"/>
          <w:b/>
          <w:bCs/>
          <w:color w:val="000000" w:themeColor="text1"/>
          <w:sz w:val="36"/>
          <w:szCs w:val="36"/>
          <w:rtl/>
          <w:lang w:bidi="ar-DZ"/>
        </w:rPr>
        <w:t xml:space="preserve"> </w:t>
      </w:r>
      <w:r>
        <w:rPr>
          <w:rFonts w:ascii="Traditional Arabic" w:hAnsi="Traditional Arabic" w:cs="Traditional Arabic" w:hint="cs"/>
          <w:color w:val="000000" w:themeColor="text1"/>
          <w:sz w:val="36"/>
          <w:szCs w:val="36"/>
          <w:rtl/>
          <w:lang w:bidi="ar-DZ"/>
        </w:rPr>
        <w:t>الدراسات الاستشراقية التي استخدمت في المنهج التاريخي، وأيضا نجد دراسة "</w:t>
      </w:r>
      <w:r>
        <w:rPr>
          <w:rFonts w:ascii="Traditional Arabic" w:hAnsi="Traditional Arabic" w:cs="Traditional Arabic" w:hint="cs"/>
          <w:b/>
          <w:bCs/>
          <w:color w:val="000000" w:themeColor="text1"/>
          <w:sz w:val="36"/>
          <w:szCs w:val="36"/>
          <w:rtl/>
          <w:lang w:bidi="ar-DZ"/>
        </w:rPr>
        <w:t xml:space="preserve">جيرالد دوغوري" </w:t>
      </w:r>
      <w:r>
        <w:rPr>
          <w:rFonts w:ascii="Traditional Arabic" w:hAnsi="Traditional Arabic" w:cs="Traditional Arabic" w:hint="cs"/>
          <w:color w:val="000000" w:themeColor="text1"/>
          <w:sz w:val="36"/>
          <w:szCs w:val="36"/>
          <w:rtl/>
          <w:lang w:bidi="ar-DZ"/>
        </w:rPr>
        <w:t>(لحكام مكة المكرمة الأوائل)، أمّا كتاب: أسس التاريخ اللغوي لـــ "</w:t>
      </w:r>
      <w:r>
        <w:rPr>
          <w:rFonts w:ascii="Traditional Arabic" w:hAnsi="Traditional Arabic" w:cs="Traditional Arabic" w:hint="cs"/>
          <w:b/>
          <w:bCs/>
          <w:color w:val="000000" w:themeColor="text1"/>
          <w:sz w:val="36"/>
          <w:szCs w:val="36"/>
          <w:rtl/>
          <w:lang w:bidi="ar-DZ"/>
        </w:rPr>
        <w:t xml:space="preserve">هيرمان بول" </w:t>
      </w:r>
      <w:r w:rsidRPr="00512116">
        <w:rPr>
          <w:rFonts w:ascii="Traditional Arabic" w:hAnsi="Traditional Arabic" w:cs="Traditional Arabic" w:hint="cs"/>
          <w:color w:val="000000" w:themeColor="text1"/>
          <w:sz w:val="36"/>
          <w:szCs w:val="36"/>
          <w:rtl/>
          <w:lang w:bidi="ar-DZ"/>
        </w:rPr>
        <w:t>فيعدّ</w:t>
      </w:r>
      <w:r>
        <w:rPr>
          <w:rFonts w:ascii="Traditional Arabic" w:hAnsi="Traditional Arabic" w:cs="Traditional Arabic" w:hint="cs"/>
          <w:b/>
          <w:bCs/>
          <w:color w:val="000000" w:themeColor="text1"/>
          <w:sz w:val="36"/>
          <w:szCs w:val="36"/>
          <w:rtl/>
          <w:lang w:bidi="ar-DZ"/>
        </w:rPr>
        <w:t xml:space="preserve"> </w:t>
      </w:r>
      <w:r>
        <w:rPr>
          <w:rFonts w:ascii="Traditional Arabic" w:hAnsi="Traditional Arabic" w:cs="Traditional Arabic" w:hint="cs"/>
          <w:color w:val="000000" w:themeColor="text1"/>
          <w:sz w:val="36"/>
          <w:szCs w:val="36"/>
          <w:rtl/>
          <w:lang w:bidi="ar-DZ"/>
        </w:rPr>
        <w:t>من العلامات البارزة في تأصيل المنهج التاريخي  وعملا نموذجيا في علم اللغة التاريخي</w:t>
      </w:r>
      <w:r>
        <w:rPr>
          <w:rStyle w:val="Appelnotedebasdep"/>
          <w:rFonts w:ascii="Traditional Arabic" w:hAnsi="Traditional Arabic" w:cs="Traditional Arabic"/>
          <w:color w:val="000000" w:themeColor="text1"/>
          <w:sz w:val="36"/>
          <w:szCs w:val="36"/>
          <w:rtl/>
          <w:lang w:bidi="ar-DZ"/>
        </w:rPr>
        <w:footnoteReference w:id="3"/>
      </w:r>
      <w:r>
        <w:rPr>
          <w:rFonts w:ascii="Traditional Arabic" w:hAnsi="Traditional Arabic" w:cs="Traditional Arabic" w:hint="cs"/>
          <w:color w:val="000000" w:themeColor="text1"/>
          <w:sz w:val="36"/>
          <w:szCs w:val="36"/>
          <w:rtl/>
          <w:lang w:bidi="ar-DZ"/>
        </w:rPr>
        <w:t xml:space="preserve">، فيما </w:t>
      </w:r>
      <w:r>
        <w:rPr>
          <w:rFonts w:ascii="Traditional Arabic" w:hAnsi="Traditional Arabic" w:cs="Traditional Arabic" w:hint="cs"/>
          <w:color w:val="000000" w:themeColor="text1"/>
          <w:sz w:val="36"/>
          <w:szCs w:val="36"/>
          <w:rtl/>
          <w:lang w:bidi="ar-DZ"/>
        </w:rPr>
        <w:lastRenderedPageBreak/>
        <w:t>اعتبر كتاب "</w:t>
      </w:r>
      <w:r>
        <w:rPr>
          <w:rFonts w:ascii="Traditional Arabic" w:hAnsi="Traditional Arabic" w:cs="Traditional Arabic" w:hint="cs"/>
          <w:b/>
          <w:bCs/>
          <w:color w:val="000000" w:themeColor="text1"/>
          <w:sz w:val="36"/>
          <w:szCs w:val="36"/>
          <w:rtl/>
          <w:lang w:bidi="ar-DZ"/>
        </w:rPr>
        <w:t xml:space="preserve">ليوهان فك" </w:t>
      </w:r>
      <w:r>
        <w:rPr>
          <w:rFonts w:ascii="Traditional Arabic" w:hAnsi="Traditional Arabic" w:cs="Traditional Arabic" w:hint="cs"/>
          <w:color w:val="000000" w:themeColor="text1"/>
          <w:sz w:val="36"/>
          <w:szCs w:val="36"/>
          <w:rtl/>
          <w:lang w:bidi="ar-DZ"/>
        </w:rPr>
        <w:t>كتاب العربية بداية لحركة دراسة تاريخ العربية وأنماطها. المنهج التاريخي من المناهج الأنجح لدراسة المراحل التاريخية التي لا يمكن دراستها في الوقت الراهن.</w:t>
      </w:r>
    </w:p>
    <w:p w:rsidR="00FE6868" w:rsidRPr="000D0388" w:rsidRDefault="00FE6868" w:rsidP="00FE6868">
      <w:pPr>
        <w:bidi/>
        <w:rPr>
          <w:rFonts w:ascii="Traditional Arabic" w:hAnsi="Traditional Arabic" w:cs="Traditional Arabic"/>
          <w:b/>
          <w:bCs/>
          <w:color w:val="4F6228" w:themeColor="accent3" w:themeShade="80"/>
          <w:sz w:val="36"/>
          <w:szCs w:val="36"/>
          <w:rtl/>
          <w:lang w:bidi="ar-DZ"/>
        </w:rPr>
      </w:pPr>
      <w:r w:rsidRPr="000D0388">
        <w:rPr>
          <w:rFonts w:ascii="Traditional Arabic" w:hAnsi="Traditional Arabic" w:cs="Traditional Arabic" w:hint="cs"/>
          <w:b/>
          <w:bCs/>
          <w:color w:val="4F6228" w:themeColor="accent3" w:themeShade="80"/>
          <w:sz w:val="36"/>
          <w:szCs w:val="36"/>
          <w:rtl/>
          <w:lang w:bidi="ar-DZ"/>
        </w:rPr>
        <w:t xml:space="preserve">2- المنهج الإسقاطي:  </w:t>
      </w:r>
    </w:p>
    <w:p w:rsidR="00FE6868" w:rsidRDefault="00FE6868" w:rsidP="00FE6868">
      <w:pPr>
        <w:bidi/>
        <w:rPr>
          <w:rFonts w:cs="Traditional Arabic"/>
          <w:sz w:val="36"/>
          <w:szCs w:val="36"/>
          <w:rtl/>
        </w:rPr>
      </w:pPr>
      <w:r>
        <w:rPr>
          <w:rFonts w:ascii="Traditional Arabic" w:hAnsi="Traditional Arabic" w:cs="Traditional Arabic" w:hint="cs"/>
          <w:b/>
          <w:bCs/>
          <w:color w:val="000000" w:themeColor="text1"/>
          <w:sz w:val="36"/>
          <w:szCs w:val="36"/>
          <w:rtl/>
          <w:lang w:bidi="ar-DZ"/>
        </w:rPr>
        <w:t xml:space="preserve">  </w:t>
      </w:r>
      <w:r w:rsidRPr="000D0388">
        <w:rPr>
          <w:rFonts w:ascii="Traditional Arabic" w:hAnsi="Traditional Arabic" w:cs="Traditional Arabic" w:hint="cs"/>
          <w:color w:val="000000" w:themeColor="text1"/>
          <w:sz w:val="36"/>
          <w:szCs w:val="36"/>
          <w:rtl/>
          <w:lang w:bidi="ar-DZ"/>
        </w:rPr>
        <w:t xml:space="preserve">الإسقاط </w:t>
      </w:r>
      <w:r>
        <w:rPr>
          <w:rFonts w:ascii="Traditional Arabic" w:hAnsi="Traditional Arabic" w:cs="Traditional Arabic" w:hint="cs"/>
          <w:color w:val="000000" w:themeColor="text1"/>
          <w:sz w:val="36"/>
          <w:szCs w:val="36"/>
          <w:rtl/>
          <w:lang w:bidi="ar-DZ"/>
        </w:rPr>
        <w:t xml:space="preserve">هو عملية نفسية نفرض بها تصوراتنا ورغباتنا ومشاعرنا على الآخرين، أو على موضوع من الموضوعات وهذا ما قام به المستشرقون باتباعهم لمنهج التفسير بالإسقاط، وذلك بجلب الواقع المعاصر واسقاطه على الوقائع التاريخية فيتم تفسيرها في ضوء خبراته وتجاربه الخاصة، </w:t>
      </w:r>
      <w:r w:rsidRPr="00B60A95">
        <w:rPr>
          <w:rFonts w:ascii="Traditional Arabic" w:hAnsi="Traditional Arabic" w:cs="Traditional Arabic" w:hint="cs"/>
          <w:b/>
          <w:bCs/>
          <w:color w:val="000000" w:themeColor="text1"/>
          <w:sz w:val="36"/>
          <w:szCs w:val="36"/>
          <w:rtl/>
          <w:lang w:bidi="ar-DZ"/>
        </w:rPr>
        <w:t>كتفسيرهم لخروج طلحة والزبير بخوفهم على أموالهم التي جمعوها</w:t>
      </w:r>
      <w:r>
        <w:rPr>
          <w:rFonts w:ascii="Traditional Arabic" w:hAnsi="Traditional Arabic" w:cs="Traditional Arabic" w:hint="cs"/>
          <w:b/>
          <w:bCs/>
          <w:color w:val="000000" w:themeColor="text1"/>
          <w:sz w:val="36"/>
          <w:szCs w:val="36"/>
          <w:rtl/>
          <w:lang w:bidi="ar-DZ"/>
        </w:rPr>
        <w:t xml:space="preserve">، </w:t>
      </w:r>
      <w:r>
        <w:rPr>
          <w:rFonts w:ascii="Traditional Arabic" w:hAnsi="Traditional Arabic" w:cs="Traditional Arabic" w:hint="cs"/>
          <w:color w:val="000000" w:themeColor="text1"/>
          <w:sz w:val="36"/>
          <w:szCs w:val="36"/>
          <w:rtl/>
          <w:lang w:bidi="ar-DZ"/>
        </w:rPr>
        <w:t>وبالتالي التشكيك والتشويه، وحاول المستشرق المجري "</w:t>
      </w:r>
      <w:r>
        <w:rPr>
          <w:rFonts w:ascii="Traditional Arabic" w:hAnsi="Traditional Arabic" w:cs="Traditional Arabic" w:hint="cs"/>
          <w:b/>
          <w:bCs/>
          <w:color w:val="000000" w:themeColor="text1"/>
          <w:sz w:val="36"/>
          <w:szCs w:val="36"/>
          <w:rtl/>
          <w:lang w:bidi="ar-DZ"/>
        </w:rPr>
        <w:t xml:space="preserve">جولد تسيهر" </w:t>
      </w:r>
      <w:r>
        <w:rPr>
          <w:rFonts w:ascii="Traditional Arabic" w:hAnsi="Traditional Arabic" w:cs="Traditional Arabic" w:hint="cs"/>
          <w:color w:val="000000" w:themeColor="text1"/>
          <w:sz w:val="36"/>
          <w:szCs w:val="36"/>
          <w:rtl/>
          <w:lang w:bidi="ar-DZ"/>
        </w:rPr>
        <w:t xml:space="preserve">تطبيق الإسقاط على القرآن من خلال قوله: "القرآن هو الأساس الأول للدين الإسلامي، وهو كتابه المقدس، ودستوره الموحى به، وهو في مجموعه مزيج من الطوابع المختلفة اختلافا جوهريا، والتي طبعت كلا من العصرين الأولين من عهد طفولة الإسلام" فقد حاول من خلال قوله أن يصور القرآن على أنه مزيج مختلط من الثقافات وليس من عند الله، بالإضافة إلى </w:t>
      </w:r>
      <w:r w:rsidRPr="00E41143">
        <w:rPr>
          <w:rFonts w:ascii="Traditional Arabic" w:hAnsi="Traditional Arabic" w:cs="Traditional Arabic" w:hint="cs"/>
          <w:b/>
          <w:bCs/>
          <w:color w:val="000000" w:themeColor="text1"/>
          <w:sz w:val="36"/>
          <w:szCs w:val="36"/>
          <w:rtl/>
          <w:lang w:bidi="ar-DZ"/>
        </w:rPr>
        <w:t>قاموس أكسفورد</w:t>
      </w:r>
      <w:r>
        <w:rPr>
          <w:rFonts w:ascii="Traditional Arabic" w:hAnsi="Traditional Arabic" w:cs="Traditional Arabic" w:hint="cs"/>
          <w:color w:val="000000" w:themeColor="text1"/>
          <w:sz w:val="36"/>
          <w:szCs w:val="36"/>
          <w:rtl/>
          <w:lang w:bidi="ar-DZ"/>
        </w:rPr>
        <w:t xml:space="preserve"> الذي يعرف القرآن على أنه الكتاب المقدس للمحمديين. ولم يختلف "</w:t>
      </w:r>
      <w:r>
        <w:rPr>
          <w:rFonts w:ascii="Traditional Arabic" w:hAnsi="Traditional Arabic" w:cs="Traditional Arabic" w:hint="cs"/>
          <w:b/>
          <w:bCs/>
          <w:color w:val="000000" w:themeColor="text1"/>
          <w:sz w:val="36"/>
          <w:szCs w:val="36"/>
          <w:rtl/>
          <w:lang w:bidi="ar-DZ"/>
        </w:rPr>
        <w:t xml:space="preserve">بلاشير" </w:t>
      </w:r>
      <w:r w:rsidRPr="001E1E81">
        <w:rPr>
          <w:rFonts w:ascii="Traditional Arabic" w:hAnsi="Traditional Arabic" w:cs="Traditional Arabic" w:hint="cs"/>
          <w:color w:val="000000" w:themeColor="text1"/>
          <w:sz w:val="36"/>
          <w:szCs w:val="36"/>
          <w:rtl/>
          <w:lang w:bidi="ar-DZ"/>
        </w:rPr>
        <w:t>عن خطى زميله</w:t>
      </w:r>
      <w:r>
        <w:rPr>
          <w:rFonts w:ascii="Traditional Arabic" w:hAnsi="Traditional Arabic" w:cs="Traditional Arabic" w:hint="cs"/>
          <w:b/>
          <w:bCs/>
          <w:color w:val="000000" w:themeColor="text1"/>
          <w:sz w:val="36"/>
          <w:szCs w:val="36"/>
          <w:rtl/>
          <w:lang w:bidi="ar-DZ"/>
        </w:rPr>
        <w:t xml:space="preserve"> </w:t>
      </w:r>
      <w:r>
        <w:rPr>
          <w:rFonts w:ascii="Traditional Arabic" w:hAnsi="Traditional Arabic" w:cs="Traditional Arabic" w:hint="cs"/>
          <w:color w:val="000000" w:themeColor="text1"/>
          <w:sz w:val="36"/>
          <w:szCs w:val="36"/>
          <w:rtl/>
          <w:lang w:bidi="ar-DZ"/>
        </w:rPr>
        <w:t xml:space="preserve">إذ شكك في نوايا الصحابى في قضية جمع القرآن في كتاب واحد في عهد النبي، على أنهم مالوا إلى ترك الأمور على حالها. كما يقول المستشرق </w:t>
      </w:r>
      <w:r w:rsidRPr="001E1E81">
        <w:rPr>
          <w:rFonts w:ascii="Traditional Arabic" w:hAnsi="Traditional Arabic" w:cs="Traditional Arabic" w:hint="cs"/>
          <w:b/>
          <w:bCs/>
          <w:color w:val="000000" w:themeColor="text1"/>
          <w:sz w:val="36"/>
          <w:szCs w:val="36"/>
          <w:rtl/>
          <w:lang w:bidi="ar-DZ"/>
        </w:rPr>
        <w:t>"جولد تسيهر"</w:t>
      </w:r>
      <w:r>
        <w:rPr>
          <w:rFonts w:ascii="Traditional Arabic" w:hAnsi="Traditional Arabic" w:cs="Traditional Arabic" w:hint="cs"/>
          <w:sz w:val="36"/>
          <w:szCs w:val="36"/>
          <w:rtl/>
          <w:lang w:bidi="ar-DZ"/>
        </w:rPr>
        <w:t xml:space="preserve">: "من العسير أن نستخلص من القرآن الكريم نفسه مذهبا عقديا موحدا متجانسا وخاليا من التناقض، ولم يصلنا من المعارف الدينية الأكثر أهمية وخطرا إلا آثار عامة نجد فيها إذا بحثنا في تفاصيلها أحيانا تعاليم متناقضة" فالقرآن في رأيه لا يخلو من التناقض غرضه الأساسي التشكيك في كتاب الله تعالى. </w:t>
      </w:r>
      <w:r w:rsidRPr="002A5A42">
        <w:rPr>
          <w:rFonts w:cs="Traditional Arabic" w:hint="cs"/>
          <w:sz w:val="36"/>
          <w:szCs w:val="36"/>
          <w:rtl/>
        </w:rPr>
        <w:t>ولا يزال الحجر الأسود موضوع جدل بين المستشرقين، حيث أخذ حيزاً واسعاً في دراساتهم، واعتبر رمزاً على وثنية الإسلام انطلاقاً من أن العرب في جاهليتهم عبدوا الأصنام، فلا بد أن تكون هذه القضية الوثنية قد وجدت طريقها إلى الإسلام أيضاً</w:t>
      </w:r>
      <w:r>
        <w:rPr>
          <w:rStyle w:val="Appelnotedebasdep"/>
          <w:rFonts w:cs="Traditional Arabic"/>
          <w:sz w:val="36"/>
          <w:szCs w:val="36"/>
          <w:rtl/>
        </w:rPr>
        <w:footnoteReference w:id="4"/>
      </w:r>
      <w:r w:rsidRPr="001E1E81">
        <w:rPr>
          <w:rFonts w:ascii="Traditional Arabic" w:hAnsi="Traditional Arabic" w:cs="Traditional Arabic" w:hint="cs"/>
          <w:sz w:val="36"/>
          <w:szCs w:val="36"/>
          <w:rtl/>
          <w:lang w:bidi="ar-DZ"/>
        </w:rPr>
        <w:t xml:space="preserve"> </w:t>
      </w:r>
      <w:r w:rsidRPr="00EE7E9C">
        <w:rPr>
          <w:rFonts w:cs="Traditional Arabic" w:hint="cs"/>
          <w:sz w:val="36"/>
          <w:szCs w:val="36"/>
          <w:rtl/>
        </w:rPr>
        <w:t>وهذا الإسقاط لا يستقيم فهو ليس صنماً</w:t>
      </w:r>
      <w:r>
        <w:rPr>
          <w:rFonts w:cs="Traditional Arabic" w:hint="cs"/>
          <w:sz w:val="36"/>
          <w:szCs w:val="36"/>
          <w:rtl/>
        </w:rPr>
        <w:t>.</w:t>
      </w:r>
    </w:p>
    <w:p w:rsidR="00FE6868" w:rsidRDefault="00FE6868" w:rsidP="00FE6868">
      <w:pPr>
        <w:bidi/>
        <w:rPr>
          <w:rFonts w:cs="Traditional Arabic"/>
          <w:sz w:val="36"/>
          <w:szCs w:val="36"/>
          <w:rtl/>
        </w:rPr>
      </w:pPr>
    </w:p>
    <w:p w:rsidR="00FE6868" w:rsidRDefault="00FE6868" w:rsidP="00FE6868">
      <w:pPr>
        <w:bidi/>
        <w:rPr>
          <w:rFonts w:cs="Traditional Arabic"/>
          <w:sz w:val="36"/>
          <w:szCs w:val="36"/>
          <w:rtl/>
        </w:rPr>
      </w:pPr>
    </w:p>
    <w:p w:rsidR="00FE6868" w:rsidRDefault="00FE6868" w:rsidP="00FE6868">
      <w:pPr>
        <w:bidi/>
        <w:rPr>
          <w:rFonts w:cs="Traditional Arabic"/>
          <w:b/>
          <w:bCs/>
          <w:color w:val="4F6228" w:themeColor="accent3" w:themeShade="80"/>
          <w:sz w:val="36"/>
          <w:szCs w:val="36"/>
          <w:rtl/>
        </w:rPr>
      </w:pPr>
      <w:r w:rsidRPr="00CF5FB9">
        <w:rPr>
          <w:rFonts w:cs="Traditional Arabic" w:hint="cs"/>
          <w:b/>
          <w:bCs/>
          <w:color w:val="4F6228" w:themeColor="accent3" w:themeShade="80"/>
          <w:sz w:val="36"/>
          <w:szCs w:val="36"/>
          <w:rtl/>
        </w:rPr>
        <w:lastRenderedPageBreak/>
        <w:t>3- منهج الأثر والتأثر:</w:t>
      </w:r>
    </w:p>
    <w:p w:rsidR="00FE6868" w:rsidRDefault="00FE6868" w:rsidP="00FE6868">
      <w:pPr>
        <w:bidi/>
        <w:rPr>
          <w:rFonts w:ascii="Traditional Arabic" w:hAnsi="Traditional Arabic" w:cs="Traditional Arabic"/>
          <w:color w:val="000000" w:themeColor="text1"/>
          <w:sz w:val="36"/>
          <w:szCs w:val="36"/>
          <w:rtl/>
          <w:lang w:bidi="ar-DZ"/>
        </w:rPr>
      </w:pPr>
      <w:r w:rsidRPr="00CC2A64">
        <w:rPr>
          <w:rFonts w:cs="Traditional Arabic" w:hint="cs"/>
          <w:b/>
          <w:bCs/>
          <w:color w:val="4F6228" w:themeColor="accent3" w:themeShade="80"/>
          <w:sz w:val="36"/>
          <w:szCs w:val="36"/>
          <w:rtl/>
        </w:rPr>
        <w:t xml:space="preserve">  </w:t>
      </w:r>
      <w:r w:rsidRPr="00CC2A64">
        <w:rPr>
          <w:rFonts w:cs="Traditional Arabic" w:hint="cs"/>
          <w:sz w:val="36"/>
          <w:szCs w:val="36"/>
          <w:rtl/>
        </w:rPr>
        <w:t>ومعضلة المستشرق أن</w:t>
      </w:r>
      <w:r>
        <w:rPr>
          <w:rFonts w:cs="Traditional Arabic" w:hint="cs"/>
          <w:sz w:val="36"/>
          <w:szCs w:val="36"/>
          <w:rtl/>
        </w:rPr>
        <w:t>ّ</w:t>
      </w:r>
      <w:r w:rsidRPr="00CC2A64">
        <w:rPr>
          <w:rFonts w:cs="Traditional Arabic" w:hint="cs"/>
          <w:sz w:val="36"/>
          <w:szCs w:val="36"/>
          <w:rtl/>
        </w:rPr>
        <w:t>ه تعامل مع الأديان؛ على أنها منفصلة عن بعضها لا يجمع بينها رابط، فلما جاء دور المقارنة سمح لمخيلته أن تنسج إجابات عن تساؤلات بنيت على رؤية سطحية مسبقة: من تأثر بمن؟ وما هي أدلة التأثير، وهكذا بدل أن تكون حالات التشابه بين الأديان عاملاً يوحدها ويرجعها إلى منبعها الأصلي، ومن ثم يؤكد غايتها المتجسدة في هداية البشر، فقد تحولت بيد المستشرق إلى أداة سطوٍ فكري؛ يتم بواسطتها إفراغ الإسلام من مضمونه، وذلك بإرجاعه إلى مصادر خارجية كالنصرانية، واليهودية، والمجوسية، والبوذية، والبابلية</w:t>
      </w:r>
      <w:r>
        <w:rPr>
          <w:rFonts w:cs="Traditional Arabic" w:hint="cs"/>
          <w:sz w:val="36"/>
          <w:szCs w:val="36"/>
          <w:rtl/>
        </w:rPr>
        <w:t>. و</w:t>
      </w:r>
      <w:r w:rsidRPr="007A5D7A">
        <w:rPr>
          <w:rFonts w:cs="Traditional Arabic" w:hint="cs"/>
          <w:sz w:val="30"/>
          <w:szCs w:val="30"/>
          <w:rtl/>
        </w:rPr>
        <w:t>عدم الوقوف على الاختلافات الجوهرية بين الإسلام</w:t>
      </w:r>
      <w:r>
        <w:rPr>
          <w:rFonts w:cs="Traditional Arabic" w:hint="cs"/>
          <w:sz w:val="30"/>
          <w:szCs w:val="30"/>
          <w:rtl/>
        </w:rPr>
        <w:t xml:space="preserve"> </w:t>
      </w:r>
      <w:r w:rsidRPr="00CC2A64">
        <w:rPr>
          <w:rFonts w:cs="Traditional Arabic" w:hint="cs"/>
          <w:sz w:val="36"/>
          <w:szCs w:val="36"/>
          <w:rtl/>
        </w:rPr>
        <w:t>لا يرون في الإسلام إلا</w:t>
      </w:r>
      <w:r>
        <w:rPr>
          <w:rFonts w:cs="Traditional Arabic" w:hint="cs"/>
          <w:sz w:val="36"/>
          <w:szCs w:val="36"/>
          <w:rtl/>
        </w:rPr>
        <w:t>ّ</w:t>
      </w:r>
      <w:r w:rsidRPr="00CC2A64">
        <w:rPr>
          <w:rFonts w:cs="Traditional Arabic" w:hint="cs"/>
          <w:sz w:val="36"/>
          <w:szCs w:val="36"/>
          <w:rtl/>
        </w:rPr>
        <w:t xml:space="preserve"> نسخة منقحة عن غيره</w:t>
      </w:r>
      <w:r>
        <w:rPr>
          <w:rStyle w:val="Appelnotedebasdep"/>
          <w:rFonts w:cs="Traditional Arabic"/>
          <w:sz w:val="36"/>
          <w:szCs w:val="36"/>
          <w:rtl/>
        </w:rPr>
        <w:footnoteReference w:id="5"/>
      </w:r>
      <w:r>
        <w:rPr>
          <w:rFonts w:cs="Traditional Arabic" w:hint="cs"/>
          <w:sz w:val="36"/>
          <w:szCs w:val="36"/>
          <w:rtl/>
        </w:rPr>
        <w:t>، وممن اتبع هذا المنهج نجد: "</w:t>
      </w:r>
      <w:r w:rsidRPr="00CA750A">
        <w:rPr>
          <w:rFonts w:cs="Traditional Arabic" w:hint="cs"/>
          <w:b/>
          <w:bCs/>
          <w:sz w:val="36"/>
          <w:szCs w:val="36"/>
          <w:rtl/>
        </w:rPr>
        <w:t>جولد زيهر</w:t>
      </w:r>
      <w:r>
        <w:rPr>
          <w:rFonts w:cs="Traditional Arabic" w:hint="cs"/>
          <w:b/>
          <w:bCs/>
          <w:sz w:val="36"/>
          <w:szCs w:val="36"/>
          <w:rtl/>
        </w:rPr>
        <w:t xml:space="preserve">"، "وات </w:t>
      </w:r>
      <w:r w:rsidRPr="00CA750A">
        <w:rPr>
          <w:rFonts w:ascii="Traditional Arabic" w:hAnsi="Traditional Arabic" w:cs="Traditional Arabic"/>
          <w:sz w:val="36"/>
          <w:szCs w:val="36"/>
        </w:rPr>
        <w:t>Watt</w:t>
      </w:r>
      <w:r>
        <w:rPr>
          <w:rFonts w:ascii="Traditional Arabic" w:hAnsi="Traditional Arabic" w:cs="Traditional Arabic" w:hint="cs"/>
          <w:sz w:val="36"/>
          <w:szCs w:val="36"/>
          <w:rtl/>
        </w:rPr>
        <w:t xml:space="preserve">"، </w:t>
      </w:r>
      <w:r w:rsidRPr="00CA750A">
        <w:rPr>
          <w:rFonts w:ascii="Traditional Arabic" w:hAnsi="Traditional Arabic" w:cs="Traditional Arabic" w:hint="cs"/>
          <w:b/>
          <w:bCs/>
          <w:sz w:val="36"/>
          <w:szCs w:val="36"/>
          <w:rtl/>
        </w:rPr>
        <w:t>و</w:t>
      </w:r>
      <w:r>
        <w:rPr>
          <w:rFonts w:cs="Traditional Arabic" w:hint="cs"/>
          <w:b/>
          <w:bCs/>
          <w:sz w:val="30"/>
          <w:szCs w:val="30"/>
          <w:rtl/>
        </w:rPr>
        <w:t>"</w:t>
      </w:r>
      <w:r w:rsidRPr="00CA750A">
        <w:rPr>
          <w:rFonts w:cs="Traditional Arabic" w:hint="cs"/>
          <w:b/>
          <w:bCs/>
          <w:sz w:val="36"/>
          <w:szCs w:val="36"/>
          <w:rtl/>
        </w:rPr>
        <w:t>بروكلمان</w:t>
      </w:r>
      <w:r>
        <w:rPr>
          <w:rFonts w:cs="Traditional Arabic" w:hint="cs"/>
          <w:b/>
          <w:bCs/>
          <w:sz w:val="36"/>
          <w:szCs w:val="36"/>
          <w:rtl/>
        </w:rPr>
        <w:t xml:space="preserve">" </w:t>
      </w:r>
      <w:r>
        <w:rPr>
          <w:rFonts w:cs="Traditional Arabic" w:hint="cs"/>
          <w:sz w:val="36"/>
          <w:szCs w:val="36"/>
          <w:rtl/>
        </w:rPr>
        <w:t xml:space="preserve">الذي يرى أنّ </w:t>
      </w:r>
      <w:r w:rsidRPr="00CA750A">
        <w:rPr>
          <w:rFonts w:cs="Traditional Arabic" w:hint="cs"/>
          <w:sz w:val="36"/>
          <w:szCs w:val="36"/>
          <w:rtl/>
        </w:rPr>
        <w:t>الرسول في زعمه منذ طفولته تلميذ للنصارى، فقد عرفوه بإنجيل الطفولة، وبحديث أهل الكهف حتى جعل معظم أفكار النبي منبثقة  من الدرجة الأولى  عن الديانات السابقة ثم وظفها على نحو يخدم حاجات شعبه الدينية، وأن فكرة التوحيد التي تبناها الإسلام، قد انحدرت من أصول كتابية، ومن كتب الأديان القديمة، وأنّ التّصور الإسلامي عن الملائكة، قد أخذه محمد عن اليهودية، كما أن فكرته عن الجنة قد أخذها عن معلمين مجهولين؛ تأثروا ببعض الرسومات والفسيفساء المسيحية التي تصور حدائق الفردوس</w:t>
      </w:r>
      <w:r>
        <w:rPr>
          <w:rStyle w:val="Appelnotedebasdep"/>
          <w:rFonts w:cs="Traditional Arabic"/>
          <w:sz w:val="36"/>
          <w:szCs w:val="36"/>
          <w:rtl/>
        </w:rPr>
        <w:footnoteReference w:id="6"/>
      </w:r>
      <w:r>
        <w:rPr>
          <w:rFonts w:cs="Traditional Arabic" w:hint="cs"/>
          <w:sz w:val="36"/>
          <w:szCs w:val="36"/>
          <w:rtl/>
        </w:rPr>
        <w:t>. بالإضافة إلى "</w:t>
      </w:r>
      <w:r>
        <w:rPr>
          <w:rFonts w:cs="Traditional Arabic" w:hint="cs"/>
          <w:b/>
          <w:bCs/>
          <w:sz w:val="36"/>
          <w:szCs w:val="36"/>
          <w:rtl/>
        </w:rPr>
        <w:t xml:space="preserve">بلاشير" </w:t>
      </w:r>
      <w:r w:rsidRPr="00B42F51">
        <w:rPr>
          <w:rFonts w:cs="Traditional Arabic" w:hint="cs"/>
          <w:sz w:val="36"/>
          <w:szCs w:val="36"/>
          <w:rtl/>
        </w:rPr>
        <w:t>الذي</w:t>
      </w:r>
      <w:r>
        <w:rPr>
          <w:rFonts w:cs="Traditional Arabic" w:hint="cs"/>
          <w:b/>
          <w:bCs/>
          <w:sz w:val="36"/>
          <w:szCs w:val="36"/>
          <w:rtl/>
        </w:rPr>
        <w:t xml:space="preserve"> </w:t>
      </w:r>
      <w:r w:rsidRPr="00E43CF2">
        <w:rPr>
          <w:rFonts w:cs="Traditional Arabic" w:hint="cs"/>
          <w:sz w:val="36"/>
          <w:szCs w:val="36"/>
          <w:rtl/>
        </w:rPr>
        <w:t>يرى أنّ</w:t>
      </w:r>
      <w:r>
        <w:rPr>
          <w:rFonts w:ascii="Traditional Arabic" w:hAnsi="Traditional Arabic" w:cs="Traditional Arabic" w:hint="cs"/>
          <w:b/>
          <w:bCs/>
          <w:color w:val="4F6228" w:themeColor="accent3" w:themeShade="80"/>
          <w:sz w:val="36"/>
          <w:szCs w:val="36"/>
          <w:rtl/>
          <w:lang w:bidi="ar-DZ"/>
        </w:rPr>
        <w:t xml:space="preserve"> </w:t>
      </w:r>
      <w:r w:rsidRPr="00E43CF2">
        <w:rPr>
          <w:rFonts w:ascii="Traditional Arabic" w:hAnsi="Traditional Arabic" w:cs="Traditional Arabic" w:hint="cs"/>
          <w:color w:val="000000" w:themeColor="text1"/>
          <w:sz w:val="36"/>
          <w:szCs w:val="36"/>
          <w:rtl/>
          <w:lang w:bidi="ar-DZ"/>
        </w:rPr>
        <w:t>القصص القرآني ترجع إلى مصدر يهودي مسيحي</w:t>
      </w:r>
      <w:r w:rsidRPr="00E43CF2">
        <w:rPr>
          <w:rFonts w:ascii="Traditional Arabic" w:hAnsi="Traditional Arabic" w:cs="Traditional Arabic" w:hint="cs"/>
          <w:b/>
          <w:bCs/>
          <w:color w:val="4F6228" w:themeColor="accent3" w:themeShade="80"/>
          <w:sz w:val="36"/>
          <w:szCs w:val="36"/>
          <w:rtl/>
          <w:lang w:bidi="ar-DZ"/>
        </w:rPr>
        <w:t xml:space="preserve"> </w:t>
      </w:r>
      <w:r>
        <w:rPr>
          <w:rFonts w:ascii="Traditional Arabic" w:hAnsi="Traditional Arabic" w:cs="Traditional Arabic" w:hint="cs"/>
          <w:color w:val="000000" w:themeColor="text1"/>
          <w:sz w:val="36"/>
          <w:szCs w:val="36"/>
          <w:rtl/>
          <w:lang w:bidi="ar-DZ"/>
        </w:rPr>
        <w:t>وغيرهم كثر ممن جعلوا هذا المنهج وسيلة لتشويه وتزييف حقيقة القرآن الكريم بل الإسلام ككل.</w:t>
      </w:r>
    </w:p>
    <w:p w:rsidR="00FE6868" w:rsidRPr="00267194" w:rsidRDefault="00FE6868" w:rsidP="00FE6868">
      <w:pPr>
        <w:bidi/>
        <w:rPr>
          <w:rFonts w:ascii="Traditional Arabic" w:hAnsi="Traditional Arabic" w:cs="Traditional Arabic"/>
          <w:b/>
          <w:bCs/>
          <w:color w:val="4F6228" w:themeColor="accent3" w:themeShade="80"/>
          <w:sz w:val="36"/>
          <w:szCs w:val="36"/>
          <w:lang w:bidi="ar-DZ"/>
        </w:rPr>
      </w:pPr>
      <w:r w:rsidRPr="00267194">
        <w:rPr>
          <w:rFonts w:ascii="Traditional Arabic" w:hAnsi="Traditional Arabic" w:cs="Traditional Arabic" w:hint="cs"/>
          <w:b/>
          <w:bCs/>
          <w:color w:val="4F6228" w:themeColor="accent3" w:themeShade="80"/>
          <w:sz w:val="36"/>
          <w:szCs w:val="36"/>
          <w:rtl/>
          <w:lang w:bidi="ar-DZ"/>
        </w:rPr>
        <w:t xml:space="preserve">4- منهج المطابقة: </w:t>
      </w:r>
    </w:p>
    <w:p w:rsidR="00FE6868" w:rsidRPr="0037645D" w:rsidRDefault="00FE6868" w:rsidP="00FE6868">
      <w:pPr>
        <w:bidi/>
        <w:rPr>
          <w:rFonts w:ascii="Traditional Arabic" w:hAnsi="Traditional Arabic" w:cs="Traditional Arabic"/>
          <w:color w:val="000000" w:themeColor="text1"/>
          <w:sz w:val="36"/>
          <w:szCs w:val="36"/>
          <w:lang w:bidi="ar-DZ"/>
        </w:rPr>
      </w:pPr>
      <w:r>
        <w:rPr>
          <w:rFonts w:ascii="Traditional Arabic" w:hAnsi="Traditional Arabic" w:cs="Traditional Arabic" w:hint="cs"/>
          <w:b/>
          <w:bCs/>
          <w:color w:val="000000" w:themeColor="text1"/>
          <w:sz w:val="36"/>
          <w:szCs w:val="36"/>
          <w:rtl/>
          <w:lang w:bidi="ar-DZ"/>
        </w:rPr>
        <w:t xml:space="preserve"> </w:t>
      </w:r>
      <w:r w:rsidRPr="0037645D">
        <w:rPr>
          <w:rFonts w:ascii="Traditional Arabic" w:hAnsi="Traditional Arabic" w:cs="Traditional Arabic" w:hint="cs"/>
          <w:color w:val="000000" w:themeColor="text1"/>
          <w:sz w:val="36"/>
          <w:szCs w:val="36"/>
          <w:rtl/>
          <w:lang w:bidi="ar-DZ"/>
        </w:rPr>
        <w:t>استعمل هذا المنهج</w:t>
      </w:r>
      <w:r>
        <w:rPr>
          <w:rFonts w:ascii="Traditional Arabic" w:hAnsi="Traditional Arabic" w:cs="Traditional Arabic" w:hint="cs"/>
          <w:color w:val="000000" w:themeColor="text1"/>
          <w:sz w:val="36"/>
          <w:szCs w:val="36"/>
          <w:rtl/>
          <w:lang w:bidi="ar-DZ"/>
        </w:rPr>
        <w:t xml:space="preserve"> للتحقيق في النّصوص التراثية ونشرها، وقد عملوا جاهدين للاطلاع على المخطوطات وفهرستها وحتى صيانتها من التلف والضياع، إلا أنها لا تخلو من نقص لأنّ هناك من حاول تطويع النصوص على حسب هواه الشخصي ليخدم بها قضية آمن بها وسعى لتحقيقها.</w:t>
      </w:r>
    </w:p>
    <w:p w:rsidR="009507A8" w:rsidRPr="00113D9A" w:rsidRDefault="009507A8" w:rsidP="00113D9A">
      <w:pPr>
        <w:bidi/>
        <w:rPr>
          <w:rFonts w:ascii="Traditional Arabic" w:hAnsi="Traditional Arabic" w:cs="Traditional Arabic"/>
          <w:sz w:val="36"/>
          <w:szCs w:val="36"/>
          <w:lang w:bidi="ar-DZ"/>
        </w:rPr>
      </w:pPr>
    </w:p>
    <w:sectPr w:rsidR="009507A8" w:rsidRPr="00113D9A" w:rsidSect="00136A5B">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4961" w:rsidRDefault="00E14961" w:rsidP="003A370C">
      <w:pPr>
        <w:bidi/>
        <w:spacing w:after="0"/>
      </w:pPr>
      <w:r>
        <w:separator/>
      </w:r>
    </w:p>
  </w:endnote>
  <w:endnote w:type="continuationSeparator" w:id="1">
    <w:p w:rsidR="00E14961" w:rsidRDefault="00E14961" w:rsidP="003A370C">
      <w:pPr>
        <w:spacing w:after="0"/>
      </w:pPr>
      <w:r>
        <w:continuationSeparator/>
      </w:r>
    </w:p>
  </w:endnote>
  <w:endnote w:type="continuationNotice" w:id="2">
    <w:p w:rsidR="00E14961" w:rsidRDefault="00E14961">
      <w:pPr>
        <w:spacing w:after="0"/>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55579"/>
      <w:docPartObj>
        <w:docPartGallery w:val="Page Numbers (Bottom of Page)"/>
        <w:docPartUnique/>
      </w:docPartObj>
    </w:sdtPr>
    <w:sdtContent>
      <w:p w:rsidR="00362FFC" w:rsidRDefault="001A2B90">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5121" type="#_x0000_t65" style="position:absolute;left:0;text-align:left;margin-left:0;margin-top:664.5pt;width:29pt;height:21.6pt;z-index:251660288;mso-top-percent:70;mso-position-horizontal:left;mso-position-horizontal-relative:right-margin-area;mso-position-vertical-relative:bottom-margin-area;mso-top-percent:70" o:allowincell="f" adj="14135" strokecolor="gray [1629]" strokeweight=".25pt">
              <v:textbox style="mso-next-textbox:#_x0000_s5121">
                <w:txbxContent>
                  <w:p w:rsidR="00362FFC" w:rsidRPr="00362FFC" w:rsidRDefault="001A2B90">
                    <w:pPr>
                      <w:jc w:val="center"/>
                      <w:rPr>
                        <w:rFonts w:ascii="Traditional Arabic" w:hAnsi="Traditional Arabic" w:cs="Traditional Arabic"/>
                        <w:b/>
                        <w:bCs/>
                      </w:rPr>
                    </w:pPr>
                    <w:r w:rsidRPr="00362FFC">
                      <w:rPr>
                        <w:rFonts w:ascii="Traditional Arabic" w:hAnsi="Traditional Arabic" w:cs="Traditional Arabic"/>
                        <w:b/>
                        <w:bCs/>
                      </w:rPr>
                      <w:fldChar w:fldCharType="begin"/>
                    </w:r>
                    <w:r w:rsidR="00362FFC" w:rsidRPr="00362FFC">
                      <w:rPr>
                        <w:rFonts w:ascii="Traditional Arabic" w:hAnsi="Traditional Arabic" w:cs="Traditional Arabic"/>
                        <w:b/>
                        <w:bCs/>
                      </w:rPr>
                      <w:instrText xml:space="preserve"> PAGE    \* MERGEFORMAT </w:instrText>
                    </w:r>
                    <w:r w:rsidRPr="00362FFC">
                      <w:rPr>
                        <w:rFonts w:ascii="Traditional Arabic" w:hAnsi="Traditional Arabic" w:cs="Traditional Arabic"/>
                        <w:b/>
                        <w:bCs/>
                      </w:rPr>
                      <w:fldChar w:fldCharType="separate"/>
                    </w:r>
                    <w:r w:rsidR="00136A5B">
                      <w:rPr>
                        <w:rFonts w:ascii="Traditional Arabic" w:hAnsi="Traditional Arabic" w:cs="Traditional Arabic"/>
                        <w:b/>
                        <w:bCs/>
                        <w:noProof/>
                      </w:rPr>
                      <w:t>4</w:t>
                    </w:r>
                    <w:r w:rsidRPr="00362FFC">
                      <w:rPr>
                        <w:rFonts w:ascii="Traditional Arabic" w:hAnsi="Traditional Arabic" w:cs="Traditional Arabic"/>
                        <w:b/>
                        <w:bCs/>
                      </w:rPr>
                      <w:fldChar w:fldCharType="end"/>
                    </w:r>
                  </w:p>
                </w:txbxContent>
              </v:textbox>
              <w10:wrap anchorx="page"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4961" w:rsidRDefault="00E14961" w:rsidP="003A370C">
      <w:pPr>
        <w:bidi/>
        <w:spacing w:after="0"/>
      </w:pPr>
      <w:r>
        <w:separator/>
      </w:r>
    </w:p>
  </w:footnote>
  <w:footnote w:type="continuationSeparator" w:id="1">
    <w:p w:rsidR="00E14961" w:rsidRDefault="00E14961" w:rsidP="003A370C">
      <w:pPr>
        <w:spacing w:after="0"/>
      </w:pPr>
      <w:r>
        <w:continuationSeparator/>
      </w:r>
    </w:p>
  </w:footnote>
  <w:footnote w:id="2">
    <w:p w:rsidR="00FE6868" w:rsidRPr="00086A8C" w:rsidRDefault="00FE6868" w:rsidP="00FE6868">
      <w:pPr>
        <w:pStyle w:val="Notedebasdepage"/>
        <w:bidi/>
        <w:rPr>
          <w:rFonts w:ascii="Traditional Arabic" w:hAnsi="Traditional Arabic" w:cs="Traditional Arabic"/>
          <w:sz w:val="32"/>
          <w:szCs w:val="32"/>
          <w:rtl/>
          <w:lang w:bidi="ar-DZ"/>
        </w:rPr>
      </w:pPr>
      <w:r w:rsidRPr="00086A8C">
        <w:rPr>
          <w:rStyle w:val="Appelnotedebasdep"/>
          <w:rFonts w:ascii="Traditional Arabic" w:hAnsi="Traditional Arabic" w:cs="Traditional Arabic"/>
          <w:sz w:val="32"/>
          <w:szCs w:val="32"/>
        </w:rPr>
        <w:footnoteRef/>
      </w:r>
      <w:r w:rsidRPr="00086A8C">
        <w:rPr>
          <w:rFonts w:ascii="Traditional Arabic" w:hAnsi="Traditional Arabic" w:cs="Traditional Arabic"/>
          <w:sz w:val="32"/>
          <w:szCs w:val="32"/>
          <w:rtl/>
        </w:rPr>
        <w:t xml:space="preserve">- </w:t>
      </w:r>
      <w:r>
        <w:rPr>
          <w:rFonts w:ascii="Traditional Arabic" w:hAnsi="Traditional Arabic" w:cs="Traditional Arabic" w:hint="cs"/>
          <w:sz w:val="32"/>
          <w:szCs w:val="32"/>
          <w:rtl/>
        </w:rPr>
        <w:t>إسلام عبد الله عبد الغني غانم، مناهج دراسة التراث عند المستشرقين، ص40.</w:t>
      </w:r>
      <w:r w:rsidRPr="00086A8C">
        <w:rPr>
          <w:rFonts w:ascii="Traditional Arabic" w:hAnsi="Traditional Arabic" w:cs="Traditional Arabic"/>
          <w:sz w:val="32"/>
          <w:szCs w:val="32"/>
        </w:rPr>
        <w:t xml:space="preserve"> </w:t>
      </w:r>
    </w:p>
  </w:footnote>
  <w:footnote w:id="3">
    <w:p w:rsidR="00FE6868" w:rsidRPr="00512116" w:rsidRDefault="00FE6868" w:rsidP="00FE6868">
      <w:pPr>
        <w:pStyle w:val="Notedebasdepage"/>
        <w:bidi/>
        <w:rPr>
          <w:rFonts w:ascii="Traditional Arabic" w:hAnsi="Traditional Arabic" w:cs="Traditional Arabic"/>
          <w:sz w:val="32"/>
          <w:szCs w:val="32"/>
          <w:rtl/>
          <w:lang w:bidi="ar-DZ"/>
        </w:rPr>
      </w:pPr>
      <w:r w:rsidRPr="00512116">
        <w:rPr>
          <w:rStyle w:val="Appelnotedebasdep"/>
          <w:rFonts w:ascii="Traditional Arabic" w:hAnsi="Traditional Arabic" w:cs="Traditional Arabic"/>
          <w:sz w:val="32"/>
          <w:szCs w:val="32"/>
        </w:rPr>
        <w:footnoteRef/>
      </w:r>
      <w:r w:rsidRPr="00512116">
        <w:rPr>
          <w:rFonts w:ascii="Traditional Arabic" w:hAnsi="Traditional Arabic" w:cs="Traditional Arabic"/>
          <w:sz w:val="32"/>
          <w:szCs w:val="32"/>
        </w:rPr>
        <w:t xml:space="preserve"> </w:t>
      </w:r>
      <w:r w:rsidRPr="00512116">
        <w:rPr>
          <w:rFonts w:ascii="Traditional Arabic" w:hAnsi="Traditional Arabic" w:cs="Traditional Arabic"/>
          <w:sz w:val="32"/>
          <w:szCs w:val="32"/>
          <w:rtl/>
          <w:lang w:bidi="ar-DZ"/>
        </w:rPr>
        <w:t>- المرجع نفسه، ص 40.</w:t>
      </w:r>
    </w:p>
  </w:footnote>
  <w:footnote w:id="4">
    <w:p w:rsidR="00FE6868" w:rsidRPr="002A5A42" w:rsidRDefault="00FE6868" w:rsidP="00FE6868">
      <w:pPr>
        <w:pStyle w:val="Notedebasdepage"/>
        <w:bidi/>
        <w:rPr>
          <w:rFonts w:ascii="Traditional Arabic" w:hAnsi="Traditional Arabic" w:cs="Traditional Arabic"/>
          <w:sz w:val="32"/>
          <w:szCs w:val="32"/>
          <w:rtl/>
          <w:lang w:bidi="ar-DZ"/>
        </w:rPr>
      </w:pPr>
      <w:r w:rsidRPr="002A5A42">
        <w:rPr>
          <w:rStyle w:val="Appelnotedebasdep"/>
          <w:rFonts w:ascii="Traditional Arabic" w:hAnsi="Traditional Arabic" w:cs="Traditional Arabic"/>
          <w:sz w:val="32"/>
          <w:szCs w:val="32"/>
        </w:rPr>
        <w:footnoteRef/>
      </w:r>
      <w:r w:rsidRPr="002A5A42">
        <w:rPr>
          <w:rFonts w:ascii="Traditional Arabic" w:hAnsi="Traditional Arabic" w:cs="Traditional Arabic"/>
          <w:sz w:val="32"/>
          <w:szCs w:val="32"/>
        </w:rPr>
        <w:t xml:space="preserve"> </w:t>
      </w:r>
      <w:r w:rsidRPr="002A5A42">
        <w:rPr>
          <w:rFonts w:ascii="Traditional Arabic" w:hAnsi="Traditional Arabic" w:cs="Traditional Arabic"/>
          <w:sz w:val="32"/>
          <w:szCs w:val="32"/>
          <w:rtl/>
          <w:lang w:bidi="ar-DZ"/>
        </w:rPr>
        <w:t xml:space="preserve">- </w:t>
      </w:r>
      <w:r>
        <w:rPr>
          <w:rFonts w:ascii="Traditional Arabic" w:hAnsi="Traditional Arabic" w:cs="Traditional Arabic"/>
          <w:sz w:val="32"/>
          <w:szCs w:val="32"/>
          <w:rtl/>
        </w:rPr>
        <w:t>عبد الله النعيم</w:t>
      </w:r>
      <w:r>
        <w:rPr>
          <w:rFonts w:ascii="Traditional Arabic" w:hAnsi="Traditional Arabic" w:cs="Traditional Arabic" w:hint="cs"/>
          <w:sz w:val="32"/>
          <w:szCs w:val="32"/>
          <w:rtl/>
        </w:rPr>
        <w:t>،</w:t>
      </w:r>
      <w:r w:rsidRPr="002A5A42">
        <w:rPr>
          <w:rFonts w:ascii="Traditional Arabic" w:hAnsi="Traditional Arabic" w:cs="Traditional Arabic"/>
          <w:sz w:val="32"/>
          <w:szCs w:val="32"/>
          <w:rtl/>
        </w:rPr>
        <w:t xml:space="preserve"> الاستشراق في السيرة النبوية، ص 275، 276</w:t>
      </w:r>
      <w:r>
        <w:rPr>
          <w:rFonts w:ascii="Traditional Arabic" w:hAnsi="Traditional Arabic" w:cs="Traditional Arabic" w:hint="cs"/>
          <w:sz w:val="32"/>
          <w:szCs w:val="32"/>
          <w:rtl/>
        </w:rPr>
        <w:t>.</w:t>
      </w:r>
    </w:p>
  </w:footnote>
  <w:footnote w:id="5">
    <w:p w:rsidR="00FE6868" w:rsidRPr="00555F42" w:rsidRDefault="00FE6868" w:rsidP="00FE6868">
      <w:pPr>
        <w:pStyle w:val="Notedebasdepage"/>
        <w:bidi/>
        <w:rPr>
          <w:sz w:val="32"/>
          <w:szCs w:val="32"/>
          <w:rtl/>
          <w:lang w:bidi="ar-DZ"/>
        </w:rPr>
      </w:pPr>
      <w:r w:rsidRPr="00555F42">
        <w:rPr>
          <w:rStyle w:val="Appelnotedebasdep"/>
          <w:sz w:val="32"/>
          <w:szCs w:val="32"/>
        </w:rPr>
        <w:footnoteRef/>
      </w:r>
      <w:r w:rsidRPr="00555F42">
        <w:rPr>
          <w:sz w:val="32"/>
          <w:szCs w:val="32"/>
        </w:rPr>
        <w:t xml:space="preserve"> </w:t>
      </w:r>
      <w:r w:rsidRPr="00555F42">
        <w:rPr>
          <w:rFonts w:hint="cs"/>
          <w:sz w:val="32"/>
          <w:szCs w:val="32"/>
          <w:rtl/>
          <w:lang w:bidi="ar-DZ"/>
        </w:rPr>
        <w:t xml:space="preserve">- </w:t>
      </w:r>
      <w:r>
        <w:rPr>
          <w:rFonts w:ascii="Traditional Arabic" w:hAnsi="Traditional Arabic" w:cs="Traditional Arabic"/>
          <w:sz w:val="32"/>
          <w:szCs w:val="32"/>
          <w:rtl/>
        </w:rPr>
        <w:t>عبد الله النعيم</w:t>
      </w:r>
      <w:r>
        <w:rPr>
          <w:rFonts w:ascii="Traditional Arabic" w:hAnsi="Traditional Arabic" w:cs="Traditional Arabic" w:hint="cs"/>
          <w:sz w:val="32"/>
          <w:szCs w:val="32"/>
          <w:rtl/>
        </w:rPr>
        <w:t>،</w:t>
      </w:r>
      <w:r w:rsidRPr="00555F42">
        <w:rPr>
          <w:rFonts w:ascii="Traditional Arabic" w:hAnsi="Traditional Arabic" w:cs="Traditional Arabic"/>
          <w:sz w:val="32"/>
          <w:szCs w:val="32"/>
          <w:rtl/>
        </w:rPr>
        <w:t xml:space="preserve"> الاستشراق في السيرة النبوية، ص 34.</w:t>
      </w:r>
    </w:p>
  </w:footnote>
  <w:footnote w:id="6">
    <w:p w:rsidR="00FE6868" w:rsidRPr="00476F95" w:rsidRDefault="00FE6868" w:rsidP="00FE6868">
      <w:pPr>
        <w:pStyle w:val="Notedebasdepage"/>
        <w:bidi/>
        <w:rPr>
          <w:rFonts w:ascii="Traditional Arabic" w:hAnsi="Traditional Arabic" w:cs="Traditional Arabic"/>
          <w:sz w:val="32"/>
          <w:szCs w:val="32"/>
          <w:rtl/>
        </w:rPr>
      </w:pPr>
      <w:r w:rsidRPr="00476F95">
        <w:rPr>
          <w:rStyle w:val="Appelnotedebasdep"/>
          <w:rFonts w:ascii="Traditional Arabic" w:hAnsi="Traditional Arabic" w:cs="Traditional Arabic"/>
          <w:sz w:val="32"/>
          <w:szCs w:val="32"/>
        </w:rPr>
        <w:footnoteRef/>
      </w:r>
      <w:r w:rsidRPr="00476F95">
        <w:rPr>
          <w:rFonts w:ascii="Traditional Arabic" w:hAnsi="Traditional Arabic" w:cs="Traditional Arabic"/>
          <w:sz w:val="32"/>
          <w:szCs w:val="32"/>
          <w:rtl/>
          <w:lang w:bidi="ar-DZ"/>
        </w:rPr>
        <w:t xml:space="preserve">- </w:t>
      </w:r>
      <w:r w:rsidRPr="00476F95">
        <w:rPr>
          <w:rFonts w:ascii="Traditional Arabic" w:hAnsi="Traditional Arabic" w:cs="Traditional Arabic"/>
          <w:sz w:val="32"/>
          <w:szCs w:val="32"/>
          <w:rtl/>
        </w:rPr>
        <w:t>الت</w:t>
      </w:r>
      <w:r>
        <w:rPr>
          <w:rFonts w:ascii="Traditional Arabic" w:hAnsi="Traditional Arabic" w:cs="Traditional Arabic" w:hint="cs"/>
          <w:sz w:val="32"/>
          <w:szCs w:val="32"/>
          <w:rtl/>
        </w:rPr>
        <w:t>ّ</w:t>
      </w:r>
      <w:r>
        <w:rPr>
          <w:rFonts w:ascii="Traditional Arabic" w:hAnsi="Traditional Arabic" w:cs="Traditional Arabic"/>
          <w:sz w:val="32"/>
          <w:szCs w:val="32"/>
          <w:rtl/>
        </w:rPr>
        <w:t>هامي نقرة</w:t>
      </w:r>
      <w:r>
        <w:rPr>
          <w:rFonts w:ascii="Traditional Arabic" w:hAnsi="Traditional Arabic" w:cs="Traditional Arabic" w:hint="cs"/>
          <w:sz w:val="32"/>
          <w:szCs w:val="32"/>
          <w:rtl/>
        </w:rPr>
        <w:t>،</w:t>
      </w:r>
      <w:r w:rsidRPr="00476F95">
        <w:rPr>
          <w:rFonts w:ascii="Traditional Arabic" w:hAnsi="Traditional Arabic" w:cs="Traditional Arabic"/>
          <w:sz w:val="32"/>
          <w:szCs w:val="32"/>
          <w:rtl/>
        </w:rPr>
        <w:t xml:space="preserve"> المستشرقون والقرآن</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ص </w:t>
      </w:r>
      <w:r>
        <w:rPr>
          <w:rFonts w:ascii="Traditional Arabic" w:hAnsi="Traditional Arabic" w:cs="Traditional Arabic"/>
          <w:sz w:val="32"/>
          <w:szCs w:val="32"/>
          <w:rtl/>
        </w:rPr>
        <w:t xml:space="preserve">1/ 35. </w:t>
      </w:r>
      <w:r>
        <w:rPr>
          <w:rFonts w:ascii="Traditional Arabic" w:hAnsi="Traditional Arabic" w:cs="Traditional Arabic" w:hint="cs"/>
          <w:sz w:val="32"/>
          <w:szCs w:val="32"/>
          <w:rtl/>
        </w:rPr>
        <w:t>و</w:t>
      </w:r>
      <w:r w:rsidRPr="00476F95">
        <w:rPr>
          <w:rFonts w:ascii="Traditional Arabic" w:hAnsi="Traditional Arabic" w:cs="Traditional Arabic"/>
          <w:sz w:val="32"/>
          <w:szCs w:val="32"/>
          <w:rtl/>
        </w:rPr>
        <w:t>تاريخ الشعوب، ت: منير بعلبكي، ص39.</w:t>
      </w:r>
      <w:r>
        <w:rPr>
          <w:rFonts w:ascii="Traditional Arabic" w:hAnsi="Traditional Arabic" w:cs="Traditional Arabic" w:hint="cs"/>
          <w:sz w:val="32"/>
          <w:szCs w:val="32"/>
          <w:rtl/>
        </w:rPr>
        <w:t xml:space="preserve"> و</w:t>
      </w:r>
      <w:r>
        <w:rPr>
          <w:rFonts w:ascii="Traditional Arabic" w:hAnsi="Traditional Arabic" w:cs="Traditional Arabic"/>
          <w:sz w:val="32"/>
          <w:szCs w:val="32"/>
          <w:rtl/>
        </w:rPr>
        <w:t>هنري ماسيه</w:t>
      </w:r>
      <w:r>
        <w:rPr>
          <w:rFonts w:ascii="Traditional Arabic" w:hAnsi="Traditional Arabic" w:cs="Traditional Arabic" w:hint="cs"/>
          <w:sz w:val="32"/>
          <w:szCs w:val="32"/>
          <w:rtl/>
        </w:rPr>
        <w:t>،</w:t>
      </w:r>
      <w:r>
        <w:rPr>
          <w:rFonts w:ascii="Traditional Arabic" w:hAnsi="Traditional Arabic" w:cs="Traditional Arabic"/>
          <w:sz w:val="32"/>
          <w:szCs w:val="32"/>
          <w:rtl/>
        </w:rPr>
        <w:t xml:space="preserve"> الإسلام، ت: بهيج شعبان</w:t>
      </w:r>
      <w:r w:rsidRPr="00476F95">
        <w:rPr>
          <w:rFonts w:ascii="Traditional Arabic" w:hAnsi="Traditional Arabic" w:cs="Traditional Arabic"/>
          <w:sz w:val="32"/>
          <w:szCs w:val="32"/>
          <w:rtl/>
        </w:rPr>
        <w:t xml:space="preserve">، ص141.  </w:t>
      </w:r>
    </w:p>
    <w:p w:rsidR="00FE6868" w:rsidRDefault="00FE6868" w:rsidP="00FE6868">
      <w:pPr>
        <w:pStyle w:val="Notedebasdepage"/>
        <w:bidi/>
        <w:rPr>
          <w:rtl/>
          <w:lang w:bidi="ar-DZ"/>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8A2B5A"/>
    <w:multiLevelType w:val="multilevel"/>
    <w:tmpl w:val="BD20002E"/>
    <w:lvl w:ilvl="0">
      <w:start w:val="1"/>
      <w:numFmt w:val="decimal"/>
      <w:lvlText w:val="%1"/>
      <w:lvlJc w:val="left"/>
      <w:pPr>
        <w:ind w:left="630" w:hanging="630"/>
      </w:pPr>
      <w:rPr>
        <w:rFonts w:hint="default"/>
        <w:color w:val="4F6228" w:themeColor="accent3" w:themeShade="80"/>
      </w:rPr>
    </w:lvl>
    <w:lvl w:ilvl="1">
      <w:start w:val="1"/>
      <w:numFmt w:val="decimal"/>
      <w:lvlText w:val="%1-%2"/>
      <w:lvlJc w:val="left"/>
      <w:pPr>
        <w:ind w:left="720" w:hanging="720"/>
      </w:pPr>
      <w:rPr>
        <w:rFonts w:hint="default"/>
        <w:color w:val="4F6228" w:themeColor="accent3" w:themeShade="80"/>
      </w:rPr>
    </w:lvl>
    <w:lvl w:ilvl="2">
      <w:start w:val="1"/>
      <w:numFmt w:val="decimal"/>
      <w:lvlText w:val="%1-%2.%3"/>
      <w:lvlJc w:val="left"/>
      <w:pPr>
        <w:ind w:left="1080" w:hanging="1080"/>
      </w:pPr>
      <w:rPr>
        <w:rFonts w:hint="default"/>
        <w:color w:val="4F6228" w:themeColor="accent3" w:themeShade="80"/>
      </w:rPr>
    </w:lvl>
    <w:lvl w:ilvl="3">
      <w:start w:val="1"/>
      <w:numFmt w:val="decimal"/>
      <w:lvlText w:val="%1-%2.%3.%4"/>
      <w:lvlJc w:val="left"/>
      <w:pPr>
        <w:ind w:left="1440" w:hanging="1440"/>
      </w:pPr>
      <w:rPr>
        <w:rFonts w:hint="default"/>
        <w:color w:val="4F6228" w:themeColor="accent3" w:themeShade="80"/>
      </w:rPr>
    </w:lvl>
    <w:lvl w:ilvl="4">
      <w:start w:val="1"/>
      <w:numFmt w:val="decimal"/>
      <w:lvlText w:val="%1-%2.%3.%4.%5"/>
      <w:lvlJc w:val="left"/>
      <w:pPr>
        <w:ind w:left="1800" w:hanging="1800"/>
      </w:pPr>
      <w:rPr>
        <w:rFonts w:hint="default"/>
        <w:color w:val="4F6228" w:themeColor="accent3" w:themeShade="80"/>
      </w:rPr>
    </w:lvl>
    <w:lvl w:ilvl="5">
      <w:start w:val="1"/>
      <w:numFmt w:val="decimal"/>
      <w:lvlText w:val="%1-%2.%3.%4.%5.%6"/>
      <w:lvlJc w:val="left"/>
      <w:pPr>
        <w:ind w:left="2160" w:hanging="2160"/>
      </w:pPr>
      <w:rPr>
        <w:rFonts w:hint="default"/>
        <w:color w:val="4F6228" w:themeColor="accent3" w:themeShade="80"/>
      </w:rPr>
    </w:lvl>
    <w:lvl w:ilvl="6">
      <w:start w:val="1"/>
      <w:numFmt w:val="decimal"/>
      <w:lvlText w:val="%1-%2.%3.%4.%5.%6.%7"/>
      <w:lvlJc w:val="left"/>
      <w:pPr>
        <w:ind w:left="2520" w:hanging="2520"/>
      </w:pPr>
      <w:rPr>
        <w:rFonts w:hint="default"/>
        <w:color w:val="4F6228" w:themeColor="accent3" w:themeShade="80"/>
      </w:rPr>
    </w:lvl>
    <w:lvl w:ilvl="7">
      <w:start w:val="1"/>
      <w:numFmt w:val="decimal"/>
      <w:lvlText w:val="%1-%2.%3.%4.%5.%6.%7.%8"/>
      <w:lvlJc w:val="left"/>
      <w:pPr>
        <w:ind w:left="2880" w:hanging="2880"/>
      </w:pPr>
      <w:rPr>
        <w:rFonts w:hint="default"/>
        <w:color w:val="4F6228" w:themeColor="accent3" w:themeShade="80"/>
      </w:rPr>
    </w:lvl>
    <w:lvl w:ilvl="8">
      <w:start w:val="1"/>
      <w:numFmt w:val="decimal"/>
      <w:lvlText w:val="%1-%2.%3.%4.%5.%6.%7.%8.%9"/>
      <w:lvlJc w:val="left"/>
      <w:pPr>
        <w:ind w:left="3240" w:hanging="3240"/>
      </w:pPr>
      <w:rPr>
        <w:rFonts w:hint="default"/>
        <w:color w:val="4F6228" w:themeColor="accent3" w:themeShade="8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0242"/>
    <o:shapelayout v:ext="edit">
      <o:idmap v:ext="edit" data="5"/>
    </o:shapelayout>
  </w:hdrShapeDefaults>
  <w:footnotePr>
    <w:footnote w:id="0"/>
    <w:footnote w:id="1"/>
  </w:footnotePr>
  <w:endnotePr>
    <w:endnote w:id="0"/>
    <w:endnote w:id="1"/>
    <w:endnote w:id="2"/>
  </w:endnotePr>
  <w:compat/>
  <w:rsids>
    <w:rsidRoot w:val="00113D9A"/>
    <w:rsid w:val="00046A8D"/>
    <w:rsid w:val="000B0158"/>
    <w:rsid w:val="00101DCA"/>
    <w:rsid w:val="00112C60"/>
    <w:rsid w:val="00113D9A"/>
    <w:rsid w:val="00136A5B"/>
    <w:rsid w:val="001A2B90"/>
    <w:rsid w:val="001B4FA8"/>
    <w:rsid w:val="00266BED"/>
    <w:rsid w:val="00355940"/>
    <w:rsid w:val="00362FFC"/>
    <w:rsid w:val="0037698D"/>
    <w:rsid w:val="003A370C"/>
    <w:rsid w:val="005032F5"/>
    <w:rsid w:val="005406E2"/>
    <w:rsid w:val="005B49A4"/>
    <w:rsid w:val="0070435C"/>
    <w:rsid w:val="00755A34"/>
    <w:rsid w:val="007951FD"/>
    <w:rsid w:val="00795658"/>
    <w:rsid w:val="007E0AFF"/>
    <w:rsid w:val="0088653A"/>
    <w:rsid w:val="00900EB0"/>
    <w:rsid w:val="009507A8"/>
    <w:rsid w:val="00AA4DFF"/>
    <w:rsid w:val="00B43A45"/>
    <w:rsid w:val="00B721E0"/>
    <w:rsid w:val="00BF20DE"/>
    <w:rsid w:val="00C508BD"/>
    <w:rsid w:val="00C919CC"/>
    <w:rsid w:val="00CE3598"/>
    <w:rsid w:val="00E14961"/>
    <w:rsid w:val="00E33012"/>
    <w:rsid w:val="00FE686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D9A"/>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01DCA"/>
    <w:pPr>
      <w:ind w:left="720"/>
      <w:contextualSpacing/>
    </w:pPr>
  </w:style>
  <w:style w:type="paragraph" w:styleId="Notedebasdepage">
    <w:name w:val="footnote text"/>
    <w:basedOn w:val="Normal"/>
    <w:link w:val="NotedebasdepageCar"/>
    <w:uiPriority w:val="99"/>
    <w:semiHidden/>
    <w:unhideWhenUsed/>
    <w:rsid w:val="003A370C"/>
    <w:pPr>
      <w:spacing w:after="0"/>
    </w:pPr>
    <w:rPr>
      <w:sz w:val="20"/>
      <w:szCs w:val="20"/>
    </w:rPr>
  </w:style>
  <w:style w:type="character" w:customStyle="1" w:styleId="NotedebasdepageCar">
    <w:name w:val="Note de bas de page Car"/>
    <w:basedOn w:val="Policepardfaut"/>
    <w:link w:val="Notedebasdepage"/>
    <w:uiPriority w:val="99"/>
    <w:semiHidden/>
    <w:rsid w:val="003A370C"/>
    <w:rPr>
      <w:sz w:val="20"/>
      <w:szCs w:val="20"/>
    </w:rPr>
  </w:style>
  <w:style w:type="character" w:styleId="Appelnotedebasdep">
    <w:name w:val="footnote reference"/>
    <w:basedOn w:val="Policepardfaut"/>
    <w:uiPriority w:val="99"/>
    <w:semiHidden/>
    <w:unhideWhenUsed/>
    <w:rsid w:val="003A370C"/>
    <w:rPr>
      <w:vertAlign w:val="superscript"/>
    </w:rPr>
  </w:style>
  <w:style w:type="paragraph" w:styleId="Notedefin">
    <w:name w:val="endnote text"/>
    <w:basedOn w:val="Normal"/>
    <w:link w:val="NotedefinCar"/>
    <w:uiPriority w:val="99"/>
    <w:semiHidden/>
    <w:unhideWhenUsed/>
    <w:rsid w:val="003A370C"/>
    <w:pPr>
      <w:spacing w:after="0"/>
    </w:pPr>
    <w:rPr>
      <w:sz w:val="20"/>
      <w:szCs w:val="20"/>
    </w:rPr>
  </w:style>
  <w:style w:type="character" w:customStyle="1" w:styleId="NotedefinCar">
    <w:name w:val="Note de fin Car"/>
    <w:basedOn w:val="Policepardfaut"/>
    <w:link w:val="Notedefin"/>
    <w:uiPriority w:val="99"/>
    <w:semiHidden/>
    <w:rsid w:val="003A370C"/>
    <w:rPr>
      <w:sz w:val="20"/>
      <w:szCs w:val="20"/>
    </w:rPr>
  </w:style>
  <w:style w:type="character" w:styleId="Appeldenotedefin">
    <w:name w:val="endnote reference"/>
    <w:basedOn w:val="Policepardfaut"/>
    <w:uiPriority w:val="99"/>
    <w:semiHidden/>
    <w:unhideWhenUsed/>
    <w:rsid w:val="003A370C"/>
    <w:rPr>
      <w:vertAlign w:val="superscript"/>
    </w:rPr>
  </w:style>
  <w:style w:type="paragraph" w:styleId="En-tte">
    <w:name w:val="header"/>
    <w:basedOn w:val="Normal"/>
    <w:link w:val="En-tteCar"/>
    <w:uiPriority w:val="99"/>
    <w:semiHidden/>
    <w:unhideWhenUsed/>
    <w:rsid w:val="00362FFC"/>
    <w:pPr>
      <w:tabs>
        <w:tab w:val="center" w:pos="4536"/>
        <w:tab w:val="right" w:pos="9072"/>
      </w:tabs>
      <w:spacing w:after="0"/>
    </w:pPr>
  </w:style>
  <w:style w:type="character" w:customStyle="1" w:styleId="En-tteCar">
    <w:name w:val="En-tête Car"/>
    <w:basedOn w:val="Policepardfaut"/>
    <w:link w:val="En-tte"/>
    <w:uiPriority w:val="99"/>
    <w:semiHidden/>
    <w:rsid w:val="00362FFC"/>
  </w:style>
  <w:style w:type="paragraph" w:styleId="Pieddepage">
    <w:name w:val="footer"/>
    <w:basedOn w:val="Normal"/>
    <w:link w:val="PieddepageCar"/>
    <w:uiPriority w:val="99"/>
    <w:semiHidden/>
    <w:unhideWhenUsed/>
    <w:rsid w:val="00362FFC"/>
    <w:pPr>
      <w:tabs>
        <w:tab w:val="center" w:pos="4536"/>
        <w:tab w:val="right" w:pos="9072"/>
      </w:tabs>
      <w:spacing w:after="0"/>
    </w:pPr>
  </w:style>
  <w:style w:type="character" w:customStyle="1" w:styleId="PieddepageCar">
    <w:name w:val="Pied de page Car"/>
    <w:basedOn w:val="Policepardfaut"/>
    <w:link w:val="Pieddepage"/>
    <w:uiPriority w:val="99"/>
    <w:semiHidden/>
    <w:rsid w:val="00362FF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8CD86-E6F2-476B-9858-780EF91E5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1</Pages>
  <Words>781</Words>
  <Characters>4301</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dc:creator>
  <cp:lastModifiedBy>Sara</cp:lastModifiedBy>
  <cp:revision>18</cp:revision>
  <dcterms:created xsi:type="dcterms:W3CDTF">2024-11-26T12:46:00Z</dcterms:created>
  <dcterms:modified xsi:type="dcterms:W3CDTF">2026-02-11T14:39:00Z</dcterms:modified>
</cp:coreProperties>
</file>