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7A8" w:rsidRPr="001D4F50" w:rsidRDefault="001D4F50" w:rsidP="001D4F50">
      <w:pPr>
        <w:bidi/>
        <w:rPr>
          <w:rFonts w:ascii="Traditional Arabic" w:hAnsi="Traditional Arabic" w:cs="Traditional Arabic"/>
          <w:b/>
          <w:bCs/>
          <w:color w:val="984806" w:themeColor="accent6" w:themeShade="80"/>
          <w:sz w:val="36"/>
          <w:szCs w:val="36"/>
          <w:rtl/>
          <w:lang w:bidi="ar-DZ"/>
        </w:rPr>
      </w:pPr>
      <w:r w:rsidRPr="001D4F50">
        <w:rPr>
          <w:rFonts w:ascii="Traditional Arabic" w:hAnsi="Traditional Arabic" w:cs="Traditional Arabic" w:hint="cs"/>
          <w:b/>
          <w:bCs/>
          <w:color w:val="984806" w:themeColor="accent6" w:themeShade="80"/>
          <w:sz w:val="36"/>
          <w:szCs w:val="36"/>
          <w:rtl/>
          <w:lang w:bidi="ar-DZ"/>
        </w:rPr>
        <w:t>المحاضرة الثانية:</w:t>
      </w:r>
    </w:p>
    <w:p w:rsidR="00D573F2" w:rsidRDefault="00D573F2" w:rsidP="00D573F2">
      <w:pPr>
        <w:bidi/>
        <w:rPr>
          <w:rFonts w:ascii="Traditional Arabic" w:hAnsi="Traditional Arabic" w:cs="Traditional Arabic"/>
          <w:b/>
          <w:bCs/>
          <w:color w:val="000000" w:themeColor="text1"/>
          <w:sz w:val="36"/>
          <w:szCs w:val="36"/>
          <w:rtl/>
          <w:lang w:bidi="ar-DZ"/>
        </w:rPr>
      </w:pPr>
      <w:r>
        <w:rPr>
          <w:rFonts w:ascii="Traditional Arabic" w:hAnsi="Traditional Arabic" w:cs="Traditional Arabic" w:hint="cs"/>
          <w:b/>
          <w:bCs/>
          <w:color w:val="000000" w:themeColor="text1"/>
          <w:sz w:val="36"/>
          <w:szCs w:val="36"/>
          <w:rtl/>
          <w:lang w:bidi="ar-DZ"/>
        </w:rPr>
        <w:t>الاستعراب: المفهوم والخصوصيات</w:t>
      </w:r>
    </w:p>
    <w:p w:rsidR="00D573F2" w:rsidRDefault="00D573F2" w:rsidP="00D573F2">
      <w:pPr>
        <w:bidi/>
        <w:rPr>
          <w:rFonts w:ascii="Traditional Arabic" w:hAnsi="Traditional Arabic" w:cs="Traditional Arabic"/>
          <w:b/>
          <w:bCs/>
          <w:color w:val="4F6228" w:themeColor="accent3" w:themeShade="80"/>
          <w:sz w:val="36"/>
          <w:szCs w:val="36"/>
          <w:rtl/>
          <w:lang w:bidi="ar-DZ"/>
        </w:rPr>
      </w:pPr>
      <w:r w:rsidRPr="00101DCA">
        <w:rPr>
          <w:rFonts w:ascii="Traditional Arabic" w:hAnsi="Traditional Arabic" w:cs="Traditional Arabic" w:hint="cs"/>
          <w:b/>
          <w:bCs/>
          <w:color w:val="4F6228" w:themeColor="accent3" w:themeShade="80"/>
          <w:sz w:val="36"/>
          <w:szCs w:val="36"/>
          <w:rtl/>
          <w:lang w:bidi="ar-DZ"/>
        </w:rPr>
        <w:t xml:space="preserve">1- </w:t>
      </w:r>
      <w:r>
        <w:rPr>
          <w:rFonts w:ascii="Traditional Arabic" w:hAnsi="Traditional Arabic" w:cs="Traditional Arabic" w:hint="cs"/>
          <w:b/>
          <w:bCs/>
          <w:color w:val="4F6228" w:themeColor="accent3" w:themeShade="80"/>
          <w:sz w:val="36"/>
          <w:szCs w:val="36"/>
          <w:rtl/>
          <w:lang w:bidi="ar-DZ"/>
        </w:rPr>
        <w:t>مفهوم الاستعراب:</w:t>
      </w:r>
    </w:p>
    <w:p w:rsidR="00D573F2" w:rsidRPr="00101DCA" w:rsidRDefault="00D573F2" w:rsidP="00D573F2">
      <w:pPr>
        <w:pStyle w:val="Paragraphedeliste"/>
        <w:numPr>
          <w:ilvl w:val="1"/>
          <w:numId w:val="1"/>
        </w:numPr>
        <w:bidi/>
        <w:rPr>
          <w:rFonts w:ascii="Traditional Arabic" w:hAnsi="Traditional Arabic" w:cs="Traditional Arabic"/>
          <w:b/>
          <w:bCs/>
          <w:sz w:val="36"/>
          <w:szCs w:val="36"/>
          <w:rtl/>
          <w:lang w:bidi="ar-DZ"/>
        </w:rPr>
      </w:pPr>
      <w:r w:rsidRPr="00101DCA">
        <w:rPr>
          <w:rFonts w:ascii="Traditional Arabic" w:hAnsi="Traditional Arabic" w:cs="Traditional Arabic" w:hint="cs"/>
          <w:b/>
          <w:bCs/>
          <w:color w:val="4F6228" w:themeColor="accent3" w:themeShade="80"/>
          <w:sz w:val="36"/>
          <w:szCs w:val="36"/>
          <w:rtl/>
          <w:lang w:bidi="ar-DZ"/>
        </w:rPr>
        <w:t>لغة:</w:t>
      </w:r>
      <w:r w:rsidRPr="00101DCA">
        <w:rPr>
          <w:rFonts w:ascii="Traditional Arabic" w:hAnsi="Traditional Arabic" w:cs="Traditional Arabic" w:hint="cs"/>
          <w:b/>
          <w:bCs/>
          <w:sz w:val="36"/>
          <w:szCs w:val="36"/>
          <w:rtl/>
          <w:lang w:bidi="ar-DZ"/>
        </w:rPr>
        <w:t xml:space="preserve"> </w:t>
      </w:r>
    </w:p>
    <w:p w:rsidR="00D573F2" w:rsidRDefault="00D573F2" w:rsidP="00D573F2">
      <w:pPr>
        <w:bidi/>
        <w:rPr>
          <w:rFonts w:ascii="Traditional Arabic" w:hAnsi="Traditional Arabic" w:cs="Traditional Arabic"/>
          <w:sz w:val="36"/>
          <w:szCs w:val="36"/>
          <w:rtl/>
          <w:lang w:bidi="ar-DZ"/>
        </w:rPr>
      </w:pPr>
      <w:r w:rsidRPr="00101DCA">
        <w:rPr>
          <w:rFonts w:ascii="Traditional Arabic" w:hAnsi="Traditional Arabic" w:cs="Traditional Arabic" w:hint="cs"/>
          <w:b/>
          <w:bCs/>
          <w:sz w:val="36"/>
          <w:szCs w:val="36"/>
          <w:rtl/>
          <w:lang w:bidi="ar-DZ"/>
        </w:rPr>
        <w:t xml:space="preserve">  </w:t>
      </w:r>
      <w:r w:rsidRPr="00101DCA">
        <w:rPr>
          <w:rFonts w:ascii="Traditional Arabic" w:hAnsi="Traditional Arabic" w:cs="Traditional Arabic" w:hint="cs"/>
          <w:sz w:val="36"/>
          <w:szCs w:val="36"/>
          <w:rtl/>
          <w:lang w:bidi="ar-DZ"/>
        </w:rPr>
        <w:t>إنّ كلمة</w:t>
      </w:r>
      <w:r>
        <w:rPr>
          <w:rFonts w:ascii="Traditional Arabic" w:hAnsi="Traditional Arabic" w:cs="Traditional Arabic" w:hint="cs"/>
          <w:sz w:val="36"/>
          <w:szCs w:val="36"/>
          <w:rtl/>
          <w:lang w:bidi="ar-DZ"/>
        </w:rPr>
        <w:t xml:space="preserve"> "الاستعراب" و"المستعرب" كما وردتا في </w:t>
      </w:r>
      <w:r w:rsidRPr="0088653A">
        <w:rPr>
          <w:rFonts w:ascii="Traditional Arabic" w:hAnsi="Traditional Arabic" w:cs="Traditional Arabic" w:hint="cs"/>
          <w:b/>
          <w:bCs/>
          <w:sz w:val="36"/>
          <w:szCs w:val="36"/>
          <w:rtl/>
          <w:lang w:bidi="ar-DZ"/>
        </w:rPr>
        <w:t>لسان العرب لابن منظور</w:t>
      </w:r>
      <w:r>
        <w:rPr>
          <w:rFonts w:ascii="Traditional Arabic" w:hAnsi="Traditional Arabic" w:cs="Traditional Arabic" w:hint="cs"/>
          <w:sz w:val="36"/>
          <w:szCs w:val="36"/>
          <w:rtl/>
          <w:lang w:bidi="ar-DZ"/>
        </w:rPr>
        <w:t xml:space="preserve">: في أصلها اللغوي"عَرَبَ" عربا: فصح بعد لكنه. "عرب" عُروبا وعُروبة وعُروبية،فصح، ويُقال عَرَبَ لسانه (وأَعرب) فلان، كان فصيحا في العربية وإن لم يكن من العرب. و(تعرَّب) تشبه بالعرب، وتعرّب أقام بالبادية وصار أعرابيا.. واستعرب صار دخيلا في العرب وجعل نفسه منهم.. وكذلك "عَربته العربُ، وأعربته أيضا وأعرَبَ الأعجم، وعرَبَ لسانه بالضم عروبة، أي صار عربيا، وتعرَب، واستعرَبَ أفصَحَ... </w:t>
      </w:r>
    </w:p>
    <w:p w:rsidR="00D573F2" w:rsidRDefault="00D573F2" w:rsidP="00D573F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والمستعرب في كلام العرب من: عرب، وهو اسم فاعل. من استعرب: وهو كل أجنبي عالم بآداب العرب ولغتهم وعلومهم وتاريخهم ونحوها، ومن اعتنى من غير العرب بآدابهم وحضارتهم وثقافتهم، ويقال: (مستشرق/يهودي مستعرب) منه العرب المستعربة: الدخلاء فيهم الذين تكلموا بلسان اسماعيل عليه السلام</w:t>
      </w:r>
      <w:r>
        <w:rPr>
          <w:rStyle w:val="Appelnotedebasdep"/>
          <w:rFonts w:ascii="Traditional Arabic" w:hAnsi="Traditional Arabic" w:cs="Traditional Arabic"/>
          <w:sz w:val="36"/>
          <w:szCs w:val="36"/>
          <w:rtl/>
          <w:lang w:bidi="ar-DZ"/>
        </w:rPr>
        <w:footnoteReference w:id="2"/>
      </w:r>
      <w:r>
        <w:rPr>
          <w:rFonts w:ascii="Traditional Arabic" w:hAnsi="Traditional Arabic" w:cs="Traditional Arabic" w:hint="cs"/>
          <w:sz w:val="36"/>
          <w:szCs w:val="36"/>
          <w:rtl/>
          <w:lang w:bidi="ar-DZ"/>
        </w:rPr>
        <w:t xml:space="preserve">. </w:t>
      </w:r>
    </w:p>
    <w:p w:rsidR="00D573F2" w:rsidRDefault="00D573F2" w:rsidP="00D573F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وعرب: استعرب، يستعرب، استعرابا، فهو مستعرب: واستعرب الشخص أي جعل نفسه من العرب. وصار دخيلا بين العرب. ومستعرب (جمعه: ون وـــات) فاعل من استعرب وصار مستعربا: الأجنبي الذي تعلم اللغة العربية وآدابها. فنقول: المستعرب (فلان): أي العالم المختص بآداب العرب وعلومهم وثقافتهم وتاريخهم</w:t>
      </w:r>
      <w:r>
        <w:rPr>
          <w:rStyle w:val="Appelnotedebasdep"/>
          <w:rFonts w:ascii="Traditional Arabic" w:hAnsi="Traditional Arabic" w:cs="Traditional Arabic"/>
          <w:sz w:val="36"/>
          <w:szCs w:val="36"/>
          <w:rtl/>
          <w:lang w:bidi="ar-DZ"/>
        </w:rPr>
        <w:footnoteReference w:id="3"/>
      </w:r>
      <w:r>
        <w:rPr>
          <w:rFonts w:ascii="Traditional Arabic" w:hAnsi="Traditional Arabic" w:cs="Traditional Arabic" w:hint="cs"/>
          <w:sz w:val="36"/>
          <w:szCs w:val="36"/>
          <w:rtl/>
          <w:lang w:bidi="ar-DZ"/>
        </w:rPr>
        <w:t xml:space="preserve">. قال </w:t>
      </w:r>
      <w:r w:rsidRPr="0037698D">
        <w:rPr>
          <w:rFonts w:ascii="Traditional Arabic" w:hAnsi="Traditional Arabic" w:cs="Traditional Arabic" w:hint="cs"/>
          <w:b/>
          <w:bCs/>
          <w:sz w:val="36"/>
          <w:szCs w:val="36"/>
          <w:rtl/>
          <w:lang w:bidi="ar-DZ"/>
        </w:rPr>
        <w:t>الأزهري</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المستعربة عندي قوم من العجم دخلوا في العرب فتكلموا بلسانهم وحكوا هيئاتهم وليسوا بصرحاء فيهم</w:t>
      </w:r>
      <w:r>
        <w:rPr>
          <w:rStyle w:val="Appelnotedebasdep"/>
          <w:rFonts w:ascii="Traditional Arabic" w:hAnsi="Traditional Arabic" w:cs="Traditional Arabic"/>
          <w:sz w:val="36"/>
          <w:szCs w:val="36"/>
          <w:rtl/>
          <w:lang w:bidi="ar-DZ"/>
        </w:rPr>
        <w:footnoteReference w:id="4"/>
      </w:r>
      <w:r>
        <w:rPr>
          <w:rFonts w:ascii="Traditional Arabic" w:hAnsi="Traditional Arabic" w:cs="Traditional Arabic" w:hint="cs"/>
          <w:sz w:val="36"/>
          <w:szCs w:val="36"/>
          <w:rtl/>
          <w:lang w:bidi="ar-DZ"/>
        </w:rPr>
        <w:t>.</w:t>
      </w:r>
    </w:p>
    <w:p w:rsidR="00D573F2" w:rsidRDefault="00D573F2" w:rsidP="00D573F2">
      <w:pPr>
        <w:bidi/>
        <w:rPr>
          <w:rFonts w:ascii="Traditional Arabic" w:hAnsi="Traditional Arabic" w:cs="Traditional Arabic"/>
          <w:sz w:val="36"/>
          <w:szCs w:val="36"/>
          <w:rtl/>
          <w:lang w:bidi="ar-DZ"/>
        </w:rPr>
      </w:pPr>
    </w:p>
    <w:p w:rsidR="00D573F2" w:rsidRPr="00E33012" w:rsidRDefault="00D573F2" w:rsidP="00D573F2">
      <w:pPr>
        <w:pStyle w:val="Paragraphedeliste"/>
        <w:numPr>
          <w:ilvl w:val="1"/>
          <w:numId w:val="1"/>
        </w:numPr>
        <w:bidi/>
        <w:rPr>
          <w:rFonts w:ascii="Traditional Arabic" w:hAnsi="Traditional Arabic" w:cs="Traditional Arabic"/>
          <w:b/>
          <w:bCs/>
          <w:color w:val="4F6228" w:themeColor="accent3" w:themeShade="80"/>
          <w:sz w:val="36"/>
          <w:szCs w:val="36"/>
          <w:rtl/>
          <w:lang w:bidi="ar-DZ"/>
        </w:rPr>
      </w:pPr>
      <w:r w:rsidRPr="00E33012">
        <w:rPr>
          <w:rFonts w:ascii="Traditional Arabic" w:hAnsi="Traditional Arabic" w:cs="Traditional Arabic" w:hint="cs"/>
          <w:b/>
          <w:bCs/>
          <w:color w:val="4F6228" w:themeColor="accent3" w:themeShade="80"/>
          <w:sz w:val="36"/>
          <w:szCs w:val="36"/>
          <w:rtl/>
          <w:lang w:bidi="ar-DZ"/>
        </w:rPr>
        <w:lastRenderedPageBreak/>
        <w:t>اصطلاحا:</w:t>
      </w:r>
    </w:p>
    <w:p w:rsidR="00D573F2" w:rsidRDefault="00D573F2" w:rsidP="00D573F2">
      <w:pPr>
        <w:bidi/>
        <w:rPr>
          <w:rFonts w:ascii="Traditional Arabic" w:hAnsi="Traditional Arabic" w:cs="Traditional Arabic"/>
          <w:b/>
          <w:bCs/>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B721E0">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w:t>
      </w:r>
      <w:r w:rsidRPr="00B721E0">
        <w:rPr>
          <w:rFonts w:ascii="Traditional Arabic" w:hAnsi="Traditional Arabic" w:cs="Traditional Arabic" w:hint="cs"/>
          <w:sz w:val="36"/>
          <w:szCs w:val="36"/>
          <w:rtl/>
          <w:lang w:bidi="ar-DZ"/>
        </w:rPr>
        <w:t>طلق مصطلح الاستعراب</w:t>
      </w:r>
      <w:r>
        <w:rPr>
          <w:rFonts w:ascii="Traditional Arabic" w:hAnsi="Traditional Arabic" w:cs="Traditional Arabic" w:hint="cs"/>
          <w:sz w:val="36"/>
          <w:szCs w:val="36"/>
          <w:rtl/>
          <w:lang w:bidi="ar-DZ"/>
        </w:rPr>
        <w:t xml:space="preserve"> في القرون الوسطى في الأندلس على جماعة من المسحيين كانوا يعيشون في ظلال الحكم الإسلامي، لهم فنونهم وآدابهم، وقد لعبوا دورا خطيرا في قلب المجتمع على الحكم الإسلامي، ولكن تم الاتفاق معهم فيما بعد. بمعنى أنّ المصطلح شاع في فترة 8م إلى أواخر القرن 15م، حيث وصل تأثير الإسلام إلى ذروته على أوروبا والعالم بأسره فوجد الغرب خلاصهم في العالم الإسلامي للتخلص من تخلفهم وجهلهم. لذا يمكن القول أنّ </w:t>
      </w:r>
      <w:r w:rsidRPr="00C919CC">
        <w:rPr>
          <w:rFonts w:ascii="Traditional Arabic" w:hAnsi="Traditional Arabic" w:cs="Traditional Arabic" w:hint="cs"/>
          <w:b/>
          <w:bCs/>
          <w:sz w:val="36"/>
          <w:szCs w:val="36"/>
          <w:rtl/>
          <w:lang w:bidi="ar-DZ"/>
        </w:rPr>
        <w:t>الاستعراب جزء من الاستشراق</w:t>
      </w:r>
      <w:r>
        <w:rPr>
          <w:rFonts w:ascii="Traditional Arabic" w:hAnsi="Traditional Arabic" w:cs="Traditional Arabic" w:hint="cs"/>
          <w:sz w:val="36"/>
          <w:szCs w:val="36"/>
          <w:rtl/>
          <w:lang w:bidi="ar-DZ"/>
        </w:rPr>
        <w:t xml:space="preserve"> لكونه يهتم بالدرجة الأولى بحياة العرب وثقافتهم وتاريخهم وأديانهم، فقط </w:t>
      </w:r>
      <w:r w:rsidRPr="00C919CC">
        <w:rPr>
          <w:rFonts w:ascii="Traditional Arabic" w:hAnsi="Traditional Arabic" w:cs="Traditional Arabic" w:hint="cs"/>
          <w:b/>
          <w:bCs/>
          <w:sz w:val="36"/>
          <w:szCs w:val="36"/>
          <w:rtl/>
          <w:lang w:bidi="ar-DZ"/>
        </w:rPr>
        <w:t xml:space="preserve">الاستشراق يدرس الشرق كاملا بشعوبه العربية وغير العربية. </w:t>
      </w:r>
    </w:p>
    <w:p w:rsidR="00D573F2" w:rsidRDefault="00D573F2" w:rsidP="00D573F2">
      <w:pPr>
        <w:bidi/>
        <w:rPr>
          <w:rFonts w:ascii="Traditional Arabic" w:hAnsi="Traditional Arabic" w:cs="Traditional Arabic"/>
          <w:b/>
          <w:bCs/>
          <w:color w:val="4F6228" w:themeColor="accent3" w:themeShade="80"/>
          <w:sz w:val="36"/>
          <w:szCs w:val="36"/>
          <w:rtl/>
          <w:lang w:bidi="ar-DZ"/>
        </w:rPr>
      </w:pPr>
      <w:r w:rsidRPr="00C508BD">
        <w:rPr>
          <w:rFonts w:ascii="Traditional Arabic" w:hAnsi="Traditional Arabic" w:cs="Traditional Arabic" w:hint="cs"/>
          <w:b/>
          <w:bCs/>
          <w:color w:val="4F6228" w:themeColor="accent3" w:themeShade="80"/>
          <w:sz w:val="36"/>
          <w:szCs w:val="36"/>
          <w:rtl/>
          <w:lang w:bidi="ar-DZ"/>
        </w:rPr>
        <w:t xml:space="preserve">2- خصوصيات الاستعراب: </w:t>
      </w:r>
    </w:p>
    <w:p w:rsidR="00D573F2" w:rsidRPr="00C508BD" w:rsidRDefault="00D573F2" w:rsidP="00D573F2">
      <w:pPr>
        <w:bidi/>
        <w:rPr>
          <w:rFonts w:ascii="Traditional Arabic" w:hAnsi="Traditional Arabic" w:cs="Traditional Arabic"/>
          <w:color w:val="4F6228" w:themeColor="accent3" w:themeShade="80"/>
          <w:sz w:val="36"/>
          <w:szCs w:val="36"/>
          <w:rtl/>
          <w:lang w:bidi="ar-DZ"/>
        </w:rPr>
      </w:pPr>
      <w:r>
        <w:rPr>
          <w:rFonts w:ascii="Traditional Arabic" w:hAnsi="Traditional Arabic" w:cs="Traditional Arabic" w:hint="cs"/>
          <w:b/>
          <w:bCs/>
          <w:color w:val="4F6228" w:themeColor="accent3" w:themeShade="80"/>
          <w:sz w:val="36"/>
          <w:szCs w:val="36"/>
          <w:rtl/>
          <w:lang w:bidi="ar-DZ"/>
        </w:rPr>
        <w:t xml:space="preserve">  </w:t>
      </w:r>
      <w:r w:rsidRPr="00C508BD">
        <w:rPr>
          <w:rFonts w:ascii="Traditional Arabic" w:hAnsi="Traditional Arabic" w:cs="Traditional Arabic" w:hint="cs"/>
          <w:sz w:val="36"/>
          <w:szCs w:val="36"/>
          <w:rtl/>
          <w:lang w:bidi="ar-DZ"/>
        </w:rPr>
        <w:t>اهتم الاستعراب في بداياته بالترجمة</w:t>
      </w:r>
      <w:r>
        <w:rPr>
          <w:rFonts w:ascii="Traditional Arabic" w:hAnsi="Traditional Arabic" w:cs="Traditional Arabic" w:hint="cs"/>
          <w:color w:val="4F6228" w:themeColor="accent3" w:themeShade="80"/>
          <w:sz w:val="36"/>
          <w:szCs w:val="36"/>
          <w:rtl/>
          <w:lang w:bidi="ar-DZ"/>
        </w:rPr>
        <w:t xml:space="preserve"> </w:t>
      </w:r>
      <w:r w:rsidRPr="00C508BD">
        <w:rPr>
          <w:rFonts w:ascii="Traditional Arabic" w:hAnsi="Traditional Arabic" w:cs="Traditional Arabic" w:hint="cs"/>
          <w:sz w:val="36"/>
          <w:szCs w:val="36"/>
          <w:rtl/>
          <w:lang w:bidi="ar-DZ"/>
        </w:rPr>
        <w:t xml:space="preserve"> والتو</w:t>
      </w:r>
      <w:r>
        <w:rPr>
          <w:rFonts w:ascii="Traditional Arabic" w:hAnsi="Traditional Arabic" w:cs="Traditional Arabic" w:hint="cs"/>
          <w:sz w:val="36"/>
          <w:szCs w:val="36"/>
          <w:rtl/>
          <w:lang w:bidi="ar-DZ"/>
        </w:rPr>
        <w:t xml:space="preserve">ثيق وحركات التّقويم والكتابة عن ثقافة اللغة العربية، وتوسع مجال الاستعراب إلى الجمع بين المجال العلمي والاستثماري للغة العربية، والتبادل الحضاري والثقافي والاقتصادي والتّجاري بين الدول؛ ولتسهيل هذه العمليات تم إنشاء مؤسسات تعليمية وجامعات ومعاهد وحتى مراكز إعلامية عربية في مختلف الدول الأجنبية من أجل تأسيس أكاديميات علمية تكون اللغات الشرقية من بين التخصصات الأساسية فيها، وبخاصة اللغة العربية التي ذاع صيتها وكثُر الاهتمام بها. فالاستعراب يهدف إلى طلب التثاقف وتبادل المصالح في إطار الحوار الحضاري للشعوب والأمم. </w:t>
      </w:r>
    </w:p>
    <w:p w:rsidR="00D573F2" w:rsidRPr="00101DCA" w:rsidRDefault="00D573F2" w:rsidP="00D573F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
    <w:p w:rsidR="00D573F2" w:rsidRPr="003D3F36" w:rsidRDefault="00D573F2" w:rsidP="00D573F2">
      <w:pPr>
        <w:bidi/>
        <w:rPr>
          <w:rFonts w:ascii="Traditional Arabic" w:hAnsi="Traditional Arabic" w:cs="Traditional Arabic"/>
          <w:b/>
          <w:bCs/>
          <w:color w:val="000000" w:themeColor="text1"/>
          <w:sz w:val="36"/>
          <w:szCs w:val="36"/>
          <w:rtl/>
          <w:lang w:bidi="ar-DZ"/>
        </w:rPr>
      </w:pPr>
    </w:p>
    <w:p w:rsidR="00D573F2" w:rsidRPr="00113D9A" w:rsidRDefault="00D573F2" w:rsidP="00D573F2">
      <w:pPr>
        <w:bidi/>
        <w:rPr>
          <w:rFonts w:ascii="Traditional Arabic" w:hAnsi="Traditional Arabic" w:cs="Traditional Arabic"/>
          <w:sz w:val="36"/>
          <w:szCs w:val="36"/>
          <w:lang w:bidi="ar-DZ"/>
        </w:rPr>
      </w:pPr>
    </w:p>
    <w:p w:rsidR="001D4F50" w:rsidRDefault="001D4F50" w:rsidP="00D573F2">
      <w:pPr>
        <w:bidi/>
        <w:rPr>
          <w:rFonts w:ascii="Traditional Arabic" w:hAnsi="Traditional Arabic" w:cs="Traditional Arabic"/>
          <w:color w:val="000000" w:themeColor="text1"/>
          <w:sz w:val="36"/>
          <w:szCs w:val="36"/>
          <w:rtl/>
          <w:lang w:bidi="ar-DZ"/>
        </w:rPr>
      </w:pPr>
    </w:p>
    <w:p w:rsidR="001D4F50" w:rsidRPr="001D4F50" w:rsidRDefault="001D4F50" w:rsidP="001D4F50">
      <w:pPr>
        <w:bidi/>
        <w:rPr>
          <w:rFonts w:ascii="Traditional Arabic" w:hAnsi="Traditional Arabic" w:cs="Traditional Arabic"/>
          <w:sz w:val="36"/>
          <w:szCs w:val="36"/>
          <w:lang w:bidi="ar-DZ"/>
        </w:rPr>
      </w:pPr>
    </w:p>
    <w:sectPr w:rsidR="001D4F50" w:rsidRPr="001D4F50" w:rsidSect="007D78D9">
      <w:footerReference w:type="default" r:id="rId8"/>
      <w:pgSz w:w="11906" w:h="16838"/>
      <w:pgMar w:top="1417" w:right="1417" w:bottom="1417" w:left="1417" w:header="708" w:footer="708" w:gutter="0"/>
      <w:pgBorders w:offsetFrom="page">
        <w:top w:val="single" w:sz="18" w:space="24" w:color="FFFFFF" w:themeColor="background1"/>
        <w:left w:val="single" w:sz="18" w:space="24" w:color="FFFFFF" w:themeColor="background1"/>
        <w:bottom w:val="single" w:sz="18" w:space="24" w:color="FFFFFF" w:themeColor="background1"/>
        <w:right w:val="single" w:sz="18" w:space="24" w:color="FFFFFF" w:themeColor="background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968" w:rsidRDefault="004D2968" w:rsidP="001D4F50">
      <w:pPr>
        <w:spacing w:after="0"/>
      </w:pPr>
      <w:r>
        <w:separator/>
      </w:r>
    </w:p>
  </w:endnote>
  <w:endnote w:type="continuationSeparator" w:id="1">
    <w:p w:rsidR="004D2968" w:rsidRDefault="004D2968" w:rsidP="001D4F5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65442"/>
      <w:docPartObj>
        <w:docPartGallery w:val="Page Numbers (Bottom of Page)"/>
        <w:docPartUnique/>
      </w:docPartObj>
    </w:sdtPr>
    <w:sdtContent>
      <w:p w:rsidR="00E916CF" w:rsidRDefault="00E6784B">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3073" type="#_x0000_t65" style="position:absolute;left:0;text-align:left;margin-left:0;margin-top:664.5pt;width:29pt;height:21.6pt;z-index:251660288;mso-top-percent:70;mso-position-horizontal:left;mso-position-horizontal-relative:right-margin-area;mso-position-vertical-relative:bottom-margin-area;mso-top-percent:70" o:allowincell="f" adj="14135" strokecolor="gray [1629]" strokeweight=".25pt">
              <v:textbox style="mso-next-textbox:#_x0000_s3073">
                <w:txbxContent>
                  <w:p w:rsidR="00E916CF" w:rsidRPr="00E916CF" w:rsidRDefault="00E6784B">
                    <w:pPr>
                      <w:jc w:val="center"/>
                      <w:rPr>
                        <w:rFonts w:ascii="Traditional Arabic" w:hAnsi="Traditional Arabic" w:cs="Traditional Arabic"/>
                        <w:b/>
                        <w:bCs/>
                      </w:rPr>
                    </w:pPr>
                    <w:r w:rsidRPr="00E916CF">
                      <w:rPr>
                        <w:rFonts w:ascii="Traditional Arabic" w:hAnsi="Traditional Arabic" w:cs="Traditional Arabic"/>
                        <w:b/>
                        <w:bCs/>
                      </w:rPr>
                      <w:fldChar w:fldCharType="begin"/>
                    </w:r>
                    <w:r w:rsidR="00E916CF" w:rsidRPr="00E916CF">
                      <w:rPr>
                        <w:rFonts w:ascii="Traditional Arabic" w:hAnsi="Traditional Arabic" w:cs="Traditional Arabic"/>
                        <w:b/>
                        <w:bCs/>
                      </w:rPr>
                      <w:instrText xml:space="preserve"> PAGE    \* MERGEFORMAT </w:instrText>
                    </w:r>
                    <w:r w:rsidRPr="00E916CF">
                      <w:rPr>
                        <w:rFonts w:ascii="Traditional Arabic" w:hAnsi="Traditional Arabic" w:cs="Traditional Arabic"/>
                        <w:b/>
                        <w:bCs/>
                      </w:rPr>
                      <w:fldChar w:fldCharType="separate"/>
                    </w:r>
                    <w:r w:rsidR="007D78D9">
                      <w:rPr>
                        <w:rFonts w:ascii="Traditional Arabic" w:hAnsi="Traditional Arabic" w:cs="Traditional Arabic"/>
                        <w:b/>
                        <w:bCs/>
                        <w:noProof/>
                      </w:rPr>
                      <w:t>1</w:t>
                    </w:r>
                    <w:r w:rsidRPr="00E916CF">
                      <w:rPr>
                        <w:rFonts w:ascii="Traditional Arabic" w:hAnsi="Traditional Arabic" w:cs="Traditional Arabic"/>
                        <w:b/>
                        <w:bCs/>
                      </w:rPr>
                      <w:fldChar w:fldCharType="end"/>
                    </w:r>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968" w:rsidRDefault="004D2968" w:rsidP="001D4F50">
      <w:pPr>
        <w:bidi/>
        <w:spacing w:after="0"/>
      </w:pPr>
      <w:r>
        <w:separator/>
      </w:r>
    </w:p>
  </w:footnote>
  <w:footnote w:type="continuationSeparator" w:id="1">
    <w:p w:rsidR="004D2968" w:rsidRDefault="004D2968" w:rsidP="001D4F50">
      <w:pPr>
        <w:spacing w:after="0"/>
      </w:pPr>
      <w:r>
        <w:continuationSeparator/>
      </w:r>
    </w:p>
  </w:footnote>
  <w:footnote w:id="2">
    <w:p w:rsidR="00D573F2" w:rsidRPr="003A370C" w:rsidRDefault="00D573F2" w:rsidP="00D573F2">
      <w:pPr>
        <w:pStyle w:val="Notedebasdepage"/>
        <w:bidi/>
        <w:rPr>
          <w:rFonts w:ascii="Traditional Arabic" w:hAnsi="Traditional Arabic" w:cs="Traditional Arabic"/>
          <w:sz w:val="32"/>
          <w:szCs w:val="32"/>
          <w:rtl/>
          <w:lang w:bidi="ar-DZ"/>
        </w:rPr>
      </w:pPr>
      <w:r w:rsidRPr="003A370C">
        <w:rPr>
          <w:rStyle w:val="Appelnotedebasdep"/>
          <w:rFonts w:ascii="Traditional Arabic" w:hAnsi="Traditional Arabic" w:cs="Traditional Arabic"/>
          <w:sz w:val="32"/>
          <w:szCs w:val="32"/>
        </w:rPr>
        <w:footnoteRef/>
      </w:r>
      <w:r w:rsidRPr="003A370C">
        <w:rPr>
          <w:rFonts w:ascii="Traditional Arabic" w:hAnsi="Traditional Arabic" w:cs="Traditional Arabic"/>
          <w:sz w:val="32"/>
          <w:szCs w:val="32"/>
          <w:rtl/>
        </w:rPr>
        <w:t>-</w:t>
      </w:r>
      <w:r w:rsidRPr="003A370C">
        <w:rPr>
          <w:rFonts w:ascii="Traditional Arabic" w:hAnsi="Traditional Arabic" w:cs="Traditional Arabic"/>
          <w:sz w:val="32"/>
          <w:szCs w:val="32"/>
        </w:rPr>
        <w:t xml:space="preserve"> </w:t>
      </w:r>
      <w:r>
        <w:rPr>
          <w:rFonts w:ascii="Traditional Arabic" w:hAnsi="Traditional Arabic" w:cs="Traditional Arabic" w:hint="cs"/>
          <w:sz w:val="32"/>
          <w:szCs w:val="32"/>
          <w:rtl/>
        </w:rPr>
        <w:t>الموسوعة الميسرة في الأديان والمذاهب والأحزاب المعاصرة، 2/687.</w:t>
      </w:r>
    </w:p>
  </w:footnote>
  <w:footnote w:id="3">
    <w:p w:rsidR="00D573F2" w:rsidRPr="0037698D" w:rsidRDefault="00D573F2" w:rsidP="00D573F2">
      <w:pPr>
        <w:pStyle w:val="Notedebasdepage"/>
        <w:bidi/>
        <w:rPr>
          <w:rFonts w:ascii="Traditional Arabic" w:hAnsi="Traditional Arabic" w:cs="Traditional Arabic"/>
          <w:sz w:val="32"/>
          <w:szCs w:val="32"/>
          <w:rtl/>
          <w:lang w:bidi="ar-DZ"/>
        </w:rPr>
      </w:pPr>
      <w:r w:rsidRPr="0037698D">
        <w:rPr>
          <w:rStyle w:val="Appelnotedebasdep"/>
          <w:rFonts w:ascii="Traditional Arabic" w:hAnsi="Traditional Arabic" w:cs="Traditional Arabic"/>
          <w:sz w:val="32"/>
          <w:szCs w:val="32"/>
        </w:rPr>
        <w:footnoteRef/>
      </w:r>
      <w:r w:rsidRPr="0037698D">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معجم معاني كلام العرب/ج4 (مادة ع ي)، تاج العروس، قاموس المحيط، المصباح المنير (مادة ع ر ب).</w:t>
      </w:r>
    </w:p>
  </w:footnote>
  <w:footnote w:id="4">
    <w:p w:rsidR="00D573F2" w:rsidRPr="0037698D" w:rsidRDefault="00D573F2" w:rsidP="00D573F2">
      <w:pPr>
        <w:pStyle w:val="Notedebasdepage"/>
        <w:bidi/>
        <w:rPr>
          <w:rFonts w:ascii="Traditional Arabic" w:hAnsi="Traditional Arabic" w:cs="Traditional Arabic"/>
          <w:sz w:val="32"/>
          <w:szCs w:val="32"/>
          <w:rtl/>
          <w:lang w:bidi="ar-DZ"/>
        </w:rPr>
      </w:pPr>
      <w:r w:rsidRPr="0037698D">
        <w:rPr>
          <w:rStyle w:val="Appelnotedebasdep"/>
          <w:rFonts w:ascii="Traditional Arabic" w:hAnsi="Traditional Arabic" w:cs="Traditional Arabic"/>
          <w:sz w:val="32"/>
          <w:szCs w:val="32"/>
        </w:rPr>
        <w:footnoteRef/>
      </w:r>
      <w:r w:rsidRPr="0037698D">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نوفل عبد الرزاق، المسلمون والعلم الحديث، ص 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8A2B5A"/>
    <w:multiLevelType w:val="multilevel"/>
    <w:tmpl w:val="BD20002E"/>
    <w:lvl w:ilvl="0">
      <w:start w:val="1"/>
      <w:numFmt w:val="decimal"/>
      <w:lvlText w:val="%1"/>
      <w:lvlJc w:val="left"/>
      <w:pPr>
        <w:ind w:left="630" w:hanging="630"/>
      </w:pPr>
      <w:rPr>
        <w:rFonts w:hint="default"/>
        <w:color w:val="4F6228" w:themeColor="accent3" w:themeShade="80"/>
      </w:rPr>
    </w:lvl>
    <w:lvl w:ilvl="1">
      <w:start w:val="1"/>
      <w:numFmt w:val="decimal"/>
      <w:lvlText w:val="%1-%2"/>
      <w:lvlJc w:val="left"/>
      <w:pPr>
        <w:ind w:left="720" w:hanging="720"/>
      </w:pPr>
      <w:rPr>
        <w:rFonts w:hint="default"/>
        <w:color w:val="4F6228" w:themeColor="accent3" w:themeShade="80"/>
      </w:rPr>
    </w:lvl>
    <w:lvl w:ilvl="2">
      <w:start w:val="1"/>
      <w:numFmt w:val="decimal"/>
      <w:lvlText w:val="%1-%2.%3"/>
      <w:lvlJc w:val="left"/>
      <w:pPr>
        <w:ind w:left="1080" w:hanging="1080"/>
      </w:pPr>
      <w:rPr>
        <w:rFonts w:hint="default"/>
        <w:color w:val="4F6228" w:themeColor="accent3" w:themeShade="80"/>
      </w:rPr>
    </w:lvl>
    <w:lvl w:ilvl="3">
      <w:start w:val="1"/>
      <w:numFmt w:val="decimal"/>
      <w:lvlText w:val="%1-%2.%3.%4"/>
      <w:lvlJc w:val="left"/>
      <w:pPr>
        <w:ind w:left="1440" w:hanging="1440"/>
      </w:pPr>
      <w:rPr>
        <w:rFonts w:hint="default"/>
        <w:color w:val="4F6228" w:themeColor="accent3" w:themeShade="80"/>
      </w:rPr>
    </w:lvl>
    <w:lvl w:ilvl="4">
      <w:start w:val="1"/>
      <w:numFmt w:val="decimal"/>
      <w:lvlText w:val="%1-%2.%3.%4.%5"/>
      <w:lvlJc w:val="left"/>
      <w:pPr>
        <w:ind w:left="1800" w:hanging="1800"/>
      </w:pPr>
      <w:rPr>
        <w:rFonts w:hint="default"/>
        <w:color w:val="4F6228" w:themeColor="accent3" w:themeShade="80"/>
      </w:rPr>
    </w:lvl>
    <w:lvl w:ilvl="5">
      <w:start w:val="1"/>
      <w:numFmt w:val="decimal"/>
      <w:lvlText w:val="%1-%2.%3.%4.%5.%6"/>
      <w:lvlJc w:val="left"/>
      <w:pPr>
        <w:ind w:left="2160" w:hanging="2160"/>
      </w:pPr>
      <w:rPr>
        <w:rFonts w:hint="default"/>
        <w:color w:val="4F6228" w:themeColor="accent3" w:themeShade="80"/>
      </w:rPr>
    </w:lvl>
    <w:lvl w:ilvl="6">
      <w:start w:val="1"/>
      <w:numFmt w:val="decimal"/>
      <w:lvlText w:val="%1-%2.%3.%4.%5.%6.%7"/>
      <w:lvlJc w:val="left"/>
      <w:pPr>
        <w:ind w:left="2520" w:hanging="2520"/>
      </w:pPr>
      <w:rPr>
        <w:rFonts w:hint="default"/>
        <w:color w:val="4F6228" w:themeColor="accent3" w:themeShade="80"/>
      </w:rPr>
    </w:lvl>
    <w:lvl w:ilvl="7">
      <w:start w:val="1"/>
      <w:numFmt w:val="decimal"/>
      <w:lvlText w:val="%1-%2.%3.%4.%5.%6.%7.%8"/>
      <w:lvlJc w:val="left"/>
      <w:pPr>
        <w:ind w:left="2880" w:hanging="2880"/>
      </w:pPr>
      <w:rPr>
        <w:rFonts w:hint="default"/>
        <w:color w:val="4F6228" w:themeColor="accent3" w:themeShade="80"/>
      </w:rPr>
    </w:lvl>
    <w:lvl w:ilvl="8">
      <w:start w:val="1"/>
      <w:numFmt w:val="decimal"/>
      <w:lvlText w:val="%1-%2.%3.%4.%5.%6.%7.%8.%9"/>
      <w:lvlJc w:val="left"/>
      <w:pPr>
        <w:ind w:left="3240" w:hanging="3240"/>
      </w:pPr>
      <w:rPr>
        <w:rFonts w:hint="default"/>
        <w:color w:val="4F6228" w:themeColor="accent3" w:themeShade="8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rsids>
    <w:rsidRoot w:val="001D4F50"/>
    <w:rsid w:val="001D4F50"/>
    <w:rsid w:val="003E2BA5"/>
    <w:rsid w:val="00475143"/>
    <w:rsid w:val="004D2968"/>
    <w:rsid w:val="00567834"/>
    <w:rsid w:val="007A4597"/>
    <w:rsid w:val="007C479D"/>
    <w:rsid w:val="007D78D9"/>
    <w:rsid w:val="008E2AD7"/>
    <w:rsid w:val="00900EB0"/>
    <w:rsid w:val="009507A8"/>
    <w:rsid w:val="00CB0880"/>
    <w:rsid w:val="00D573F2"/>
    <w:rsid w:val="00DD2FB6"/>
    <w:rsid w:val="00E6784B"/>
    <w:rsid w:val="00E916CF"/>
    <w:rsid w:val="00F27EE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7A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1D4F50"/>
    <w:pPr>
      <w:spacing w:after="0"/>
    </w:pPr>
    <w:rPr>
      <w:sz w:val="20"/>
      <w:szCs w:val="20"/>
    </w:rPr>
  </w:style>
  <w:style w:type="character" w:customStyle="1" w:styleId="NotedebasdepageCar">
    <w:name w:val="Note de bas de page Car"/>
    <w:basedOn w:val="Policepardfaut"/>
    <w:link w:val="Notedebasdepage"/>
    <w:uiPriority w:val="99"/>
    <w:semiHidden/>
    <w:rsid w:val="001D4F50"/>
    <w:rPr>
      <w:sz w:val="20"/>
      <w:szCs w:val="20"/>
    </w:rPr>
  </w:style>
  <w:style w:type="character" w:styleId="Appelnotedebasdep">
    <w:name w:val="footnote reference"/>
    <w:basedOn w:val="Policepardfaut"/>
    <w:uiPriority w:val="99"/>
    <w:semiHidden/>
    <w:unhideWhenUsed/>
    <w:rsid w:val="001D4F50"/>
    <w:rPr>
      <w:vertAlign w:val="superscript"/>
    </w:rPr>
  </w:style>
  <w:style w:type="paragraph" w:styleId="Paragraphedeliste">
    <w:name w:val="List Paragraph"/>
    <w:basedOn w:val="Normal"/>
    <w:uiPriority w:val="34"/>
    <w:qFormat/>
    <w:rsid w:val="001D4F50"/>
    <w:pPr>
      <w:ind w:left="720"/>
      <w:contextualSpacing/>
    </w:pPr>
  </w:style>
  <w:style w:type="paragraph" w:styleId="En-tte">
    <w:name w:val="header"/>
    <w:basedOn w:val="Normal"/>
    <w:link w:val="En-tteCar"/>
    <w:uiPriority w:val="99"/>
    <w:semiHidden/>
    <w:unhideWhenUsed/>
    <w:rsid w:val="00E916CF"/>
    <w:pPr>
      <w:tabs>
        <w:tab w:val="center" w:pos="4536"/>
        <w:tab w:val="right" w:pos="9072"/>
      </w:tabs>
      <w:spacing w:after="0"/>
    </w:pPr>
  </w:style>
  <w:style w:type="character" w:customStyle="1" w:styleId="En-tteCar">
    <w:name w:val="En-tête Car"/>
    <w:basedOn w:val="Policepardfaut"/>
    <w:link w:val="En-tte"/>
    <w:uiPriority w:val="99"/>
    <w:semiHidden/>
    <w:rsid w:val="00E916CF"/>
  </w:style>
  <w:style w:type="paragraph" w:styleId="Pieddepage">
    <w:name w:val="footer"/>
    <w:basedOn w:val="Normal"/>
    <w:link w:val="PieddepageCar"/>
    <w:uiPriority w:val="99"/>
    <w:semiHidden/>
    <w:unhideWhenUsed/>
    <w:rsid w:val="00E916CF"/>
    <w:pPr>
      <w:tabs>
        <w:tab w:val="center" w:pos="4536"/>
        <w:tab w:val="right" w:pos="9072"/>
      </w:tabs>
      <w:spacing w:after="0"/>
    </w:pPr>
  </w:style>
  <w:style w:type="character" w:customStyle="1" w:styleId="PieddepageCar">
    <w:name w:val="Pied de page Car"/>
    <w:basedOn w:val="Policepardfaut"/>
    <w:link w:val="Pieddepage"/>
    <w:uiPriority w:val="99"/>
    <w:semiHidden/>
    <w:rsid w:val="00E916C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EA400-98F6-4842-89FA-42A8256B8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361</Words>
  <Characters>1991</Characters>
  <Application>Microsoft Office Word</Application>
  <DocSecurity>0</DocSecurity>
  <Lines>16</Lines>
  <Paragraphs>4</Paragraphs>
  <ScaleCrop>false</ScaleCrop>
  <Company/>
  <LinksUpToDate>false</LinksUpToDate>
  <CharactersWithSpaces>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5</cp:revision>
  <dcterms:created xsi:type="dcterms:W3CDTF">2024-12-01T07:32:00Z</dcterms:created>
  <dcterms:modified xsi:type="dcterms:W3CDTF">2026-02-11T14:37:00Z</dcterms:modified>
</cp:coreProperties>
</file>