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8" w:rsidRPr="009C27C7" w:rsidRDefault="009C27C7" w:rsidP="009C27C7">
      <w:pPr>
        <w:bidi/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rtl/>
          <w:lang w:bidi="ar-DZ"/>
        </w:rPr>
      </w:pPr>
      <w:r w:rsidRPr="009C27C7"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rtl/>
          <w:lang w:bidi="ar-DZ"/>
        </w:rPr>
        <w:t>المحاضرة الحادية عشر:</w:t>
      </w:r>
    </w:p>
    <w:p w:rsidR="009C27C7" w:rsidRPr="009C27C7" w:rsidRDefault="009C27C7" w:rsidP="009C27C7">
      <w:pPr>
        <w:bidi/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rtl/>
          <w:lang w:bidi="ar-DZ"/>
        </w:rPr>
      </w:pPr>
      <w:r w:rsidRPr="009C27C7">
        <w:rPr>
          <w:rFonts w:ascii="Traditional Arabic" w:hAnsi="Traditional Arabic" w:cs="Traditional Arabic"/>
          <w:b/>
          <w:bCs/>
          <w:color w:val="92D050"/>
          <w:sz w:val="36"/>
          <w:szCs w:val="36"/>
          <w:rtl/>
          <w:lang w:bidi="ar-DZ"/>
        </w:rPr>
        <w:t>بروكلمان وتاريخ الأدب العربي</w:t>
      </w:r>
    </w:p>
    <w:p w:rsidR="002440EF" w:rsidRDefault="009C27C7" w:rsidP="002440EF">
      <w:pPr>
        <w:bidi/>
        <w:rPr>
          <w:rStyle w:val="fontstyle01"/>
          <w:sz w:val="36"/>
          <w:szCs w:val="36"/>
          <w:rtl/>
        </w:rPr>
      </w:pPr>
      <w:r>
        <w:rPr>
          <w:rStyle w:val="fontstyle01"/>
          <w:rFonts w:hint="cs"/>
          <w:sz w:val="36"/>
          <w:szCs w:val="36"/>
          <w:rtl/>
        </w:rPr>
        <w:t xml:space="preserve">  </w:t>
      </w:r>
      <w:r w:rsidRPr="009C27C7">
        <w:rPr>
          <w:rStyle w:val="fontstyle01"/>
          <w:sz w:val="36"/>
          <w:szCs w:val="36"/>
          <w:rtl/>
        </w:rPr>
        <w:t xml:space="preserve">ولد كارل بروكلمان في </w:t>
      </w:r>
      <w:r>
        <w:rPr>
          <w:rStyle w:val="fontstyle01"/>
          <w:rFonts w:hint="cs"/>
          <w:sz w:val="36"/>
          <w:szCs w:val="36"/>
          <w:rtl/>
        </w:rPr>
        <w:t>17</w:t>
      </w:r>
      <w:r w:rsidRPr="009C27C7">
        <w:rPr>
          <w:rStyle w:val="fontstyle01"/>
          <w:sz w:val="36"/>
          <w:szCs w:val="36"/>
          <w:rtl/>
        </w:rPr>
        <w:t xml:space="preserve">سبتمبر </w:t>
      </w:r>
      <w:r>
        <w:rPr>
          <w:rStyle w:val="fontstyle01"/>
          <w:rFonts w:hint="cs"/>
          <w:sz w:val="36"/>
          <w:szCs w:val="36"/>
          <w:rtl/>
        </w:rPr>
        <w:t>1868</w:t>
      </w:r>
      <w:r w:rsidRPr="009C27C7">
        <w:rPr>
          <w:rStyle w:val="fontstyle01"/>
          <w:sz w:val="36"/>
          <w:szCs w:val="36"/>
          <w:rtl/>
        </w:rPr>
        <w:t xml:space="preserve">م في مدينة روستوك، وكان أبوه (ولد في </w:t>
      </w:r>
      <w:r>
        <w:rPr>
          <w:rStyle w:val="fontstyle01"/>
          <w:rFonts w:hint="cs"/>
          <w:sz w:val="36"/>
          <w:szCs w:val="36"/>
          <w:rtl/>
        </w:rPr>
        <w:t>13/10/1826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وتوفي في </w:t>
      </w:r>
      <w:r>
        <w:rPr>
          <w:rStyle w:val="fontstyle01"/>
          <w:rFonts w:hint="cs"/>
          <w:sz w:val="36"/>
          <w:szCs w:val="36"/>
          <w:rtl/>
        </w:rPr>
        <w:t xml:space="preserve">31 </w:t>
      </w:r>
      <w:r w:rsidRPr="009C27C7">
        <w:rPr>
          <w:rStyle w:val="fontstyle01"/>
          <w:sz w:val="36"/>
          <w:szCs w:val="36"/>
          <w:rtl/>
        </w:rPr>
        <w:t>مارس</w:t>
      </w:r>
      <w:r>
        <w:rPr>
          <w:rStyle w:val="fontstyle01"/>
          <w:rFonts w:hint="cs"/>
          <w:sz w:val="36"/>
          <w:szCs w:val="36"/>
          <w:rtl/>
        </w:rPr>
        <w:t xml:space="preserve">1897) </w:t>
      </w:r>
      <w:r w:rsidRPr="009C27C7">
        <w:rPr>
          <w:rStyle w:val="fontstyle01"/>
          <w:sz w:val="36"/>
          <w:szCs w:val="36"/>
          <w:rtl/>
        </w:rPr>
        <w:t xml:space="preserve">تاجراً يتجر فيما يسمى سلع المستعمرات، 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</w:rPr>
        <w:t>Kolonialwaren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وكانت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أمه، كما قال عنها في ترجمته الذاتية " سيدة موهوبة روحياً، وهي التي فتحت لابنها آفاق الأدب الألماني</w:t>
      </w:r>
      <w:r w:rsidRPr="009C27C7">
        <w:rPr>
          <w:rStyle w:val="fontstyle01"/>
          <w:sz w:val="36"/>
          <w:szCs w:val="36"/>
        </w:rPr>
        <w:t>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لكن ساءت الأحوال المالية لأبيه فعاشت الأسرة في ضيق</w:t>
      </w:r>
      <w:r w:rsidRPr="009C27C7">
        <w:rPr>
          <w:rStyle w:val="fontstyle01"/>
          <w:sz w:val="36"/>
          <w:szCs w:val="36"/>
        </w:rPr>
        <w:t>.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9C27C7">
        <w:rPr>
          <w:rStyle w:val="fontstyle01"/>
          <w:sz w:val="36"/>
          <w:szCs w:val="36"/>
          <w:rtl/>
        </w:rPr>
        <w:t>ظهر ميل كارل إلى التعمق في الدراسات الشرقية قبل أن ينهي دراسته الثانوية في بلدته، فانتمى إلى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9C27C7">
        <w:rPr>
          <w:rStyle w:val="fontstyle01"/>
          <w:sz w:val="36"/>
          <w:szCs w:val="36"/>
          <w:rtl/>
        </w:rPr>
        <w:t>جمعية يقوم أفرادها بقراءة بعض المجلات العلميّة الجغرافيّة.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وكان أمله أن يعمل فيما وراء البحار طبيباً على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ظهر سفينة، أو ترجماناً، أو مبشراً دينياً، ولهذا السبب كان يحضر دروس الأستاذ نرجر</w:t>
      </w:r>
      <w:r w:rsidRPr="009C27C7">
        <w:rPr>
          <w:rStyle w:val="fontstyle01"/>
          <w:sz w:val="36"/>
          <w:szCs w:val="36"/>
        </w:rPr>
        <w:t>Nerger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معلّم اللغة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العربية في تلك المدرسة الثانوية، ويقول أنه اتقن العبريةَ إلى درجة أنه استطاع أن يترجم في امتحان العبرية في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البكالوريا، نصاً عبرياً من سفر " عموص" غير مشكول ترجمة تلقائية شفوية. كذلك بدأ يدرس اللغة الآرا مية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الكتابية واللغة السريانية وهو لا يزال طالباً في الثانوي</w:t>
      </w:r>
      <w:r w:rsidRPr="009C27C7">
        <w:rPr>
          <w:rStyle w:val="fontstyle01"/>
          <w:sz w:val="36"/>
          <w:szCs w:val="36"/>
        </w:rPr>
        <w:t>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التحق بجامعة رستوك في ربيع</w:t>
      </w:r>
      <w:r>
        <w:rPr>
          <w:rStyle w:val="fontstyle01"/>
          <w:rFonts w:hint="cs"/>
          <w:sz w:val="36"/>
          <w:szCs w:val="36"/>
          <w:rtl/>
        </w:rPr>
        <w:t>،</w:t>
      </w:r>
      <w:r w:rsidRPr="009C27C7">
        <w:rPr>
          <w:rStyle w:val="fontstyle01"/>
          <w:sz w:val="36"/>
          <w:szCs w:val="36"/>
          <w:rtl/>
        </w:rPr>
        <w:t xml:space="preserve"> </w:t>
      </w:r>
      <w:r>
        <w:rPr>
          <w:rStyle w:val="fontstyle01"/>
          <w:rFonts w:hint="cs"/>
          <w:sz w:val="36"/>
          <w:szCs w:val="36"/>
          <w:rtl/>
        </w:rPr>
        <w:t xml:space="preserve">1886 </w:t>
      </w:r>
      <w:r w:rsidRPr="009C27C7">
        <w:rPr>
          <w:rStyle w:val="fontstyle01"/>
          <w:sz w:val="36"/>
          <w:szCs w:val="36"/>
          <w:rtl/>
        </w:rPr>
        <w:t>لكنه كما قال: وفي الفصل الدراسي الأول، حضر إلى جانب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دروس نولدكه في الشرقيات ـ دروس هوبشمن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</w:rPr>
        <w:t>Hubschmann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في اللغة السنسكريتية واللغة الآرمنية،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ودروس دومشن </w:t>
      </w:r>
      <w:r w:rsidRPr="009C27C7">
        <w:rPr>
          <w:rStyle w:val="fontstyle01"/>
          <w:sz w:val="36"/>
          <w:szCs w:val="36"/>
        </w:rPr>
        <w:t>Dumischen .J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>
        <w:rPr>
          <w:rStyle w:val="fontstyle01"/>
          <w:sz w:val="36"/>
          <w:szCs w:val="36"/>
          <w:rtl/>
        </w:rPr>
        <w:t>في اللغة المصرية القديمة</w:t>
      </w:r>
      <w:r w:rsidRPr="009C27C7">
        <w:rPr>
          <w:rStyle w:val="fontstyle01"/>
          <w:sz w:val="36"/>
          <w:szCs w:val="36"/>
          <w:rtl/>
        </w:rPr>
        <w:t>.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وفي اشتراسبورج تعرف إلى مدير القسم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>
        <w:rPr>
          <w:rStyle w:val="fontstyle01"/>
          <w:sz w:val="36"/>
          <w:szCs w:val="36"/>
          <w:rtl/>
        </w:rPr>
        <w:t>الشرقي في المكتبة، وهو أويتنگ</w:t>
      </w:r>
      <w:r w:rsidRPr="009C27C7">
        <w:rPr>
          <w:rStyle w:val="fontstyle01"/>
          <w:sz w:val="36"/>
          <w:szCs w:val="36"/>
          <w:rtl/>
        </w:rPr>
        <w:t>،</w:t>
      </w:r>
      <w:r w:rsidRPr="009C27C7">
        <w:rPr>
          <w:rStyle w:val="fontstyle01"/>
          <w:sz w:val="36"/>
          <w:szCs w:val="36"/>
        </w:rPr>
        <w:t>Euting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ولم يكن أوتينج ـ فيما يقول بروكلمن ـ عالماً كبيراً، ولكنه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استطاع القيام بمغامرةكادت تودي بحياته، في شبه الجزيرة العربية بحثاً عن نقوش عربية. وكان يلقي في بيته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دروساً عن النقوش العربية والخط العربي. ويقول بروكلمان إنه يدين له بكونه يكتب خطاً جميلاً جداً</w:t>
      </w:r>
      <w:r w:rsidRPr="009C27C7">
        <w:rPr>
          <w:rStyle w:val="fontstyle01"/>
          <w:sz w:val="36"/>
          <w:szCs w:val="36"/>
        </w:rPr>
        <w:t>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ونال بعدها شهادة الدكتوراه من جامعة ستراسبورغ. وبعد ذلك بعام كلفه أستاذه نولدكه دراسة العلاقة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بين كتاب «الكامل في التاريخ» لابن الأثير، وكتاب «أخبار الرسل والملوك» للطبري. وقد نالت رسالته هذه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جائزة تقديرية وطبعت في ستراسبورغ عام </w:t>
      </w:r>
      <w:r>
        <w:rPr>
          <w:rStyle w:val="fontstyle01"/>
          <w:rFonts w:hint="cs"/>
          <w:sz w:val="36"/>
          <w:szCs w:val="36"/>
          <w:rtl/>
        </w:rPr>
        <w:t>1890</w:t>
      </w:r>
      <w:r w:rsidRPr="009C27C7">
        <w:rPr>
          <w:rStyle w:val="fontstyle01"/>
          <w:sz w:val="36"/>
          <w:szCs w:val="36"/>
          <w:rtl/>
        </w:rPr>
        <w:t>م. فعين بروكلمان، إثر ذلك مدرساً متمرناً في المدرسة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الثانوية البروتستنتية في تلك المدينة</w:t>
      </w:r>
      <w:r w:rsidRPr="009C27C7">
        <w:rPr>
          <w:rStyle w:val="fontstyle01"/>
          <w:sz w:val="36"/>
          <w:szCs w:val="36"/>
        </w:rPr>
        <w:t>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وأمضى صيف </w:t>
      </w:r>
      <w:r>
        <w:rPr>
          <w:rStyle w:val="fontstyle01"/>
          <w:rFonts w:hint="cs"/>
          <w:sz w:val="36"/>
          <w:szCs w:val="36"/>
          <w:rtl/>
        </w:rPr>
        <w:t xml:space="preserve"> 1890</w:t>
      </w:r>
      <w:r w:rsidRPr="009C27C7">
        <w:rPr>
          <w:rStyle w:val="fontstyle01"/>
          <w:sz w:val="36"/>
          <w:szCs w:val="36"/>
          <w:rtl/>
        </w:rPr>
        <w:t>مدرساً خصوصياً في بيت العالم الفسيولوجي جلوتس</w:t>
      </w:r>
      <w:r w:rsidRPr="009C27C7">
        <w:rPr>
          <w:rStyle w:val="fontstyle01"/>
          <w:sz w:val="36"/>
          <w:szCs w:val="36"/>
        </w:rPr>
        <w:t>Glots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في منزله الريفي في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9C27C7">
        <w:rPr>
          <w:rStyle w:val="fontstyle01"/>
          <w:sz w:val="36"/>
          <w:szCs w:val="36"/>
          <w:rtl/>
        </w:rPr>
        <w:t>نويدورف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</w:rPr>
        <w:t xml:space="preserve"> .Neudorf</w:t>
      </w:r>
      <w:r w:rsidRPr="009C27C7">
        <w:rPr>
          <w:rStyle w:val="fontstyle01"/>
          <w:sz w:val="36"/>
          <w:szCs w:val="36"/>
          <w:rtl/>
        </w:rPr>
        <w:t xml:space="preserve">وفي أول أكتوبر </w:t>
      </w:r>
      <w:r w:rsidR="001D19E9">
        <w:rPr>
          <w:rStyle w:val="fontstyle01"/>
          <w:rFonts w:hint="cs"/>
          <w:sz w:val="36"/>
          <w:szCs w:val="36"/>
          <w:rtl/>
        </w:rPr>
        <w:t xml:space="preserve">1890 </w:t>
      </w:r>
      <w:r w:rsidRPr="009C27C7">
        <w:rPr>
          <w:rStyle w:val="fontstyle01"/>
          <w:sz w:val="36"/>
          <w:szCs w:val="36"/>
          <w:rtl/>
        </w:rPr>
        <w:t>عُيّن مدرساً في المدرسة البروتسنتية في اشتراسبورج أولاً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تحت التمرين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</w:rPr>
        <w:t>Probandes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وبعد ذلك مدرساً مساعداً. وفي نفس الوقت واصل دراساته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lastRenderedPageBreak/>
        <w:t>العربية. وبدعوة من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نولدكه ـ قام في شتاء </w:t>
      </w:r>
      <w:r w:rsidR="001D19E9">
        <w:rPr>
          <w:rStyle w:val="fontstyle01"/>
          <w:rFonts w:hint="cs"/>
          <w:sz w:val="36"/>
          <w:szCs w:val="36"/>
          <w:rtl/>
        </w:rPr>
        <w:t xml:space="preserve">1888 </w:t>
      </w:r>
      <w:r w:rsidRPr="009C27C7">
        <w:rPr>
          <w:rStyle w:val="fontstyle01"/>
          <w:sz w:val="36"/>
          <w:szCs w:val="36"/>
          <w:rtl/>
        </w:rPr>
        <w:t>بقراءة القسم الأول من "ديوان لبيد" الذي نشره الخالدي في فيينا ـ نشر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الترجمة الألمانية التي قام بها أنطون هوبر </w:t>
      </w:r>
      <w:r w:rsidRPr="009C27C7">
        <w:rPr>
          <w:rStyle w:val="fontstyle01"/>
          <w:sz w:val="36"/>
          <w:szCs w:val="36"/>
        </w:rPr>
        <w:t>Anton Huber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الذي توفي مبكراً، وبعد ذلك نشر القسم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الثاني من هذا الديوان وما تبقى للبيد من شذرات وترجمه إلى الألمانية، مستنداً إلى دراسات تمهيدية أعدها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هوبر، وهينرشتوربكه، وصدر ذلك كله في </w:t>
      </w:r>
      <w:r w:rsidR="001D19E9">
        <w:rPr>
          <w:rStyle w:val="fontstyle01"/>
          <w:rFonts w:hint="cs"/>
          <w:sz w:val="36"/>
          <w:szCs w:val="36"/>
          <w:rtl/>
        </w:rPr>
        <w:t>1891.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1D19E9">
        <w:rPr>
          <w:rStyle w:val="fontstyle01"/>
          <w:rFonts w:hint="cs"/>
          <w:sz w:val="36"/>
          <w:szCs w:val="36"/>
          <w:rtl/>
        </w:rPr>
        <w:t xml:space="preserve">  </w:t>
      </w:r>
      <w:r w:rsidRPr="009C27C7">
        <w:rPr>
          <w:rStyle w:val="fontstyle01"/>
          <w:sz w:val="36"/>
          <w:szCs w:val="36"/>
          <w:rtl/>
        </w:rPr>
        <w:t>ولكنه ما لبث أن تبين له أن لا مستقبل له في هذه المدرسة الثانوية البروتستنتية. ولهذا قرر " أن يبحر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على البحر غير المأمون لوظيفة مدرس مساعد</w:t>
      </w:r>
      <w:r w:rsidRPr="009C27C7">
        <w:rPr>
          <w:rStyle w:val="fontstyle01"/>
          <w:sz w:val="36"/>
          <w:szCs w:val="36"/>
        </w:rPr>
        <w:t xml:space="preserve"> "Privatdozentur</w:t>
      </w:r>
      <w:r w:rsidRPr="009C27C7">
        <w:rPr>
          <w:rStyle w:val="fontstyle01"/>
          <w:sz w:val="36"/>
          <w:szCs w:val="36"/>
          <w:rtl/>
        </w:rPr>
        <w:t>ـ أي أن يعد نفسه للانخراط في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التدريس الجامعي. ومن أجل هذا انتقل في نوفمبر </w:t>
      </w:r>
      <w:r w:rsidR="001D19E9">
        <w:rPr>
          <w:rStyle w:val="fontstyle01"/>
          <w:rFonts w:hint="cs"/>
          <w:sz w:val="36"/>
          <w:szCs w:val="36"/>
          <w:rtl/>
        </w:rPr>
        <w:t xml:space="preserve">1892 </w:t>
      </w:r>
      <w:r w:rsidRPr="009C27C7">
        <w:rPr>
          <w:rStyle w:val="fontstyle01"/>
          <w:sz w:val="36"/>
          <w:szCs w:val="36"/>
          <w:rtl/>
        </w:rPr>
        <w:t>إلى برسلاو وحصل على دكتوراه التأهيل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للتدريس</w:t>
      </w:r>
      <w:r w:rsidRPr="009C27C7">
        <w:rPr>
          <w:rStyle w:val="fontstyle01"/>
          <w:sz w:val="36"/>
          <w:szCs w:val="36"/>
        </w:rPr>
        <w:t xml:space="preserve"> .Habil.D.r</w:t>
      </w:r>
      <w:r w:rsidRPr="009C27C7">
        <w:rPr>
          <w:rStyle w:val="fontstyle01"/>
          <w:sz w:val="36"/>
          <w:szCs w:val="36"/>
          <w:rtl/>
        </w:rPr>
        <w:t xml:space="preserve">في </w:t>
      </w:r>
      <w:r w:rsidR="001D19E9">
        <w:rPr>
          <w:rStyle w:val="fontstyle01"/>
          <w:rFonts w:hint="cs"/>
          <w:sz w:val="36"/>
          <w:szCs w:val="36"/>
          <w:rtl/>
        </w:rPr>
        <w:t xml:space="preserve">28 </w:t>
      </w:r>
      <w:r w:rsidRPr="009C27C7">
        <w:rPr>
          <w:rStyle w:val="fontstyle01"/>
          <w:sz w:val="36"/>
          <w:szCs w:val="36"/>
          <w:rtl/>
        </w:rPr>
        <w:t xml:space="preserve">يناير </w:t>
      </w:r>
      <w:r w:rsidR="001D19E9">
        <w:rPr>
          <w:rStyle w:val="fontstyle01"/>
          <w:rFonts w:hint="cs"/>
          <w:sz w:val="36"/>
          <w:szCs w:val="36"/>
          <w:rtl/>
        </w:rPr>
        <w:t xml:space="preserve">1893 </w:t>
      </w:r>
      <w:r w:rsidRPr="009C27C7">
        <w:rPr>
          <w:rStyle w:val="fontstyle01"/>
          <w:sz w:val="36"/>
          <w:szCs w:val="36"/>
          <w:rtl/>
        </w:rPr>
        <w:t>برسالة عنوانها: " عبد الرحمن أبو الفرج ابن الجوزي: تلقيح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فهوم أهل الآثار في مختصر السير والأخبار ـ بحث ( في هذا الكتاب ) وفقاً لمخطوط برلين" ( رسالة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دكتوراه التأهيل ،</w:t>
      </w:r>
      <w:r w:rsidRPr="009C27C7">
        <w:rPr>
          <w:rStyle w:val="fontstyle01"/>
          <w:sz w:val="36"/>
          <w:szCs w:val="36"/>
        </w:rPr>
        <w:t>Habilitationisschrift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ب</w:t>
      </w:r>
      <w:r w:rsidR="001D19E9">
        <w:rPr>
          <w:rStyle w:val="fontstyle01"/>
          <w:sz w:val="36"/>
          <w:szCs w:val="36"/>
          <w:rtl/>
        </w:rPr>
        <w:t>رسلاو</w:t>
      </w:r>
      <w:r w:rsidR="001D19E9">
        <w:rPr>
          <w:rStyle w:val="fontstyle01"/>
          <w:rFonts w:hint="cs"/>
          <w:sz w:val="36"/>
          <w:szCs w:val="36"/>
          <w:rtl/>
        </w:rPr>
        <w:t xml:space="preserve">1788) </w:t>
      </w:r>
      <w:r w:rsidR="001D19E9">
        <w:rPr>
          <w:rStyle w:val="fontstyle01"/>
          <w:sz w:val="36"/>
          <w:szCs w:val="36"/>
          <w:rtl/>
        </w:rPr>
        <w:t>وفي تلك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الأثناء أيضاً كان بروكلمان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مشغولاً بجمع مواد لـ " معجم سرياني"، لأن الحاجة كانت تدعو آنذاك إلى وضع معجم سرياني</w:t>
      </w:r>
      <w:r w:rsidR="002440EF" w:rsidRPr="002440EF">
        <w:rPr>
          <w:rStyle w:val="fontstyle01"/>
          <w:sz w:val="36"/>
          <w:szCs w:val="36"/>
        </w:rPr>
        <w:t xml:space="preserve"> </w:t>
      </w:r>
      <w:r w:rsidR="002440EF" w:rsidRPr="009C27C7">
        <w:rPr>
          <w:rStyle w:val="fontstyle01"/>
          <w:sz w:val="36"/>
          <w:szCs w:val="36"/>
        </w:rPr>
        <w:t>Lexicon Syriacum</w:t>
      </w:r>
      <w:r w:rsidR="002440EF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الذي صنفه كستلوس</w:t>
      </w:r>
      <w:r w:rsidRPr="009C27C7">
        <w:rPr>
          <w:rStyle w:val="fontstyle01"/>
          <w:sz w:val="36"/>
          <w:szCs w:val="36"/>
        </w:rPr>
        <w:t xml:space="preserve"> Castellus</w:t>
      </w:r>
      <w:r w:rsidRPr="009C27C7">
        <w:rPr>
          <w:rStyle w:val="fontstyle01"/>
          <w:sz w:val="36"/>
          <w:szCs w:val="36"/>
          <w:rtl/>
        </w:rPr>
        <w:t xml:space="preserve">وطبع </w:t>
      </w:r>
      <w:r w:rsidR="001D19E9">
        <w:rPr>
          <w:rStyle w:val="fontstyle01"/>
          <w:rFonts w:hint="cs"/>
          <w:sz w:val="36"/>
          <w:szCs w:val="36"/>
          <w:rtl/>
        </w:rPr>
        <w:t xml:space="preserve">1788 </w:t>
      </w:r>
      <w:r w:rsidR="002440EF">
        <w:rPr>
          <w:rStyle w:val="fontstyle01"/>
          <w:sz w:val="36"/>
          <w:szCs w:val="36"/>
          <w:rtl/>
        </w:rPr>
        <w:t>كان قد نفد منذ</w:t>
      </w:r>
      <w:r w:rsidR="002440EF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وقت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طويل، كما أن تقدم الدراسات في النصوص السريانية كان يدعو إلى تجديده وإضافة الكثير من المواد إليه؛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ومن ناحية أخرى كان " كنز اللغة السريانية</w:t>
      </w:r>
      <w:r w:rsidRPr="009C27C7">
        <w:rPr>
          <w:rStyle w:val="fontstyle01"/>
          <w:sz w:val="36"/>
          <w:szCs w:val="36"/>
        </w:rPr>
        <w:t xml:space="preserve"> " Thesaurus Syriacus</w:t>
      </w:r>
      <w:r w:rsidRPr="009C27C7">
        <w:rPr>
          <w:rStyle w:val="fontstyle01"/>
          <w:sz w:val="36"/>
          <w:szCs w:val="36"/>
          <w:rtl/>
        </w:rPr>
        <w:t>الذي أصدره</w:t>
      </w:r>
      <w:r w:rsidRPr="009C27C7">
        <w:rPr>
          <w:rStyle w:val="fontstyle01"/>
          <w:sz w:val="36"/>
          <w:szCs w:val="36"/>
        </w:rPr>
        <w:t xml:space="preserve"> R.Payne</w:t>
      </w:r>
      <w:r w:rsidR="001D19E9" w:rsidRPr="009C27C7">
        <w:rPr>
          <w:rStyle w:val="fontstyle01"/>
          <w:sz w:val="36"/>
          <w:szCs w:val="36"/>
        </w:rPr>
        <w:t>Smith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ولا يزال حتى اليوم خير معجم لهذه اللغة حافلاً بالكثير من المواد التي يمكن </w:t>
      </w:r>
      <w:r w:rsidR="001D19E9">
        <w:rPr>
          <w:rStyle w:val="fontstyle01"/>
          <w:sz w:val="36"/>
          <w:szCs w:val="36"/>
          <w:rtl/>
        </w:rPr>
        <w:t>الاستغناء عنها؛</w:t>
      </w:r>
      <w:r w:rsidRPr="009C27C7">
        <w:rPr>
          <w:rStyle w:val="fontstyle01"/>
          <w:sz w:val="36"/>
          <w:szCs w:val="36"/>
          <w:rtl/>
        </w:rPr>
        <w:t>لهذا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أقبل بروكلمان على وضع معجم جديد للغة السريانية فاستقرأ ألفاظ الترجمة السريانية للكتاب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المقدس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</w:rPr>
        <w:t>Peschitta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والأفرات و مواعظ مار أفرام السرياني، وكثير من النصوص السريانية الأخرى، وفي خلال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ثلاثة أعوام وضع معجمه، وفيه زود كل مادة بشواهد من النصوص جعلت المعجم وثيق الأساس. وألحق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المعجم ثبتاً لاتينياً سريانياً، مما جعله يتفوق على المعجم السرياني اللاتيني الذي أصدره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</w:rPr>
        <w:t>J.Bruns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اليسوعي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في بيروت في نفس الوقت. وصدر المعجم السرياني</w:t>
      </w:r>
      <w:r w:rsidRPr="009C27C7">
        <w:rPr>
          <w:rStyle w:val="fontstyle01"/>
          <w:sz w:val="36"/>
          <w:szCs w:val="36"/>
        </w:rPr>
        <w:t xml:space="preserve"> Lexicon Syriacum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="001D19E9">
        <w:rPr>
          <w:rStyle w:val="fontstyle01"/>
          <w:sz w:val="36"/>
          <w:szCs w:val="36"/>
          <w:rtl/>
        </w:rPr>
        <w:t>لبروكلمن في فبراير</w:t>
      </w:r>
      <w:r w:rsidR="001D19E9">
        <w:rPr>
          <w:rStyle w:val="fontstyle01"/>
          <w:rFonts w:hint="cs"/>
          <w:sz w:val="36"/>
          <w:szCs w:val="36"/>
          <w:rtl/>
        </w:rPr>
        <w:t xml:space="preserve">1895 </w:t>
      </w:r>
      <w:r w:rsidRPr="009C27C7">
        <w:rPr>
          <w:rStyle w:val="fontstyle01"/>
          <w:sz w:val="36"/>
          <w:szCs w:val="36"/>
          <w:rtl/>
        </w:rPr>
        <w:t>وكان أدوردسخاو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</w:rPr>
        <w:t>Sachau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قد دعاه للاشتراك في إعداد نشرة</w:t>
      </w:r>
      <w:r w:rsidR="001D19E9">
        <w:rPr>
          <w:rStyle w:val="fontstyle01"/>
          <w:sz w:val="36"/>
          <w:szCs w:val="36"/>
          <w:rtl/>
        </w:rPr>
        <w:t xml:space="preserve"> نقدية محققة لـ"طبقات ابن سعد</w:t>
      </w:r>
      <w:r w:rsidRPr="009C27C7">
        <w:rPr>
          <w:rStyle w:val="fontstyle01"/>
          <w:sz w:val="36"/>
          <w:szCs w:val="36"/>
          <w:rtl/>
        </w:rPr>
        <w:t>،" والسفر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إلى لندن واستنبول للاطلاع على مخطوطات هذا الكتاب. فسافر بروكلمان في أغسطس </w:t>
      </w:r>
      <w:r w:rsidR="001D19E9">
        <w:rPr>
          <w:rStyle w:val="fontstyle01"/>
          <w:rFonts w:hint="cs"/>
          <w:sz w:val="36"/>
          <w:szCs w:val="36"/>
          <w:rtl/>
        </w:rPr>
        <w:t xml:space="preserve">1895 </w:t>
      </w:r>
      <w:r w:rsidR="001D19E9">
        <w:rPr>
          <w:rStyle w:val="fontstyle01"/>
          <w:sz w:val="36"/>
          <w:szCs w:val="36"/>
          <w:rtl/>
        </w:rPr>
        <w:t>إلى</w:t>
      </w:r>
      <w:r w:rsidR="001D19E9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لندن،</w:t>
      </w:r>
      <w:r w:rsidR="001D19E9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وفي سبتمبر سافر إلى استنابول، حيث أمضى شتاء عام </w:t>
      </w:r>
      <w:r w:rsidR="001D19E9">
        <w:rPr>
          <w:rStyle w:val="fontstyle01"/>
          <w:rFonts w:hint="cs"/>
          <w:sz w:val="36"/>
          <w:szCs w:val="36"/>
          <w:rtl/>
        </w:rPr>
        <w:t xml:space="preserve">1895. </w:t>
      </w:r>
      <w:r w:rsidRPr="009C27C7">
        <w:rPr>
          <w:rStyle w:val="fontstyle01"/>
          <w:sz w:val="36"/>
          <w:szCs w:val="36"/>
          <w:rtl/>
        </w:rPr>
        <w:t>ولم يكتف بأداء المهمة الموكولة إليه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9C27C7">
        <w:rPr>
          <w:rStyle w:val="fontstyle01"/>
          <w:sz w:val="36"/>
          <w:szCs w:val="36"/>
          <w:rtl/>
        </w:rPr>
        <w:t>الخاصة بطبقات ابن سعد، بل انتهز الفرصة فنسخ نسخة من " عيون الأخبار" لابن قتيبة. وفي فيراير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1D19E9">
        <w:rPr>
          <w:rStyle w:val="fontstyle01"/>
          <w:rFonts w:hint="cs"/>
          <w:sz w:val="36"/>
          <w:szCs w:val="36"/>
          <w:rtl/>
        </w:rPr>
        <w:t xml:space="preserve">1896 </w:t>
      </w:r>
      <w:r w:rsidR="001D19E9">
        <w:rPr>
          <w:rStyle w:val="fontstyle01"/>
          <w:sz w:val="36"/>
          <w:szCs w:val="36"/>
          <w:rtl/>
        </w:rPr>
        <w:t>عاد إلى برسلاو</w:t>
      </w:r>
      <w:r w:rsidRPr="009C27C7">
        <w:rPr>
          <w:rStyle w:val="fontstyle01"/>
          <w:sz w:val="36"/>
          <w:szCs w:val="36"/>
          <w:rtl/>
        </w:rPr>
        <w:t xml:space="preserve">. وكان بروكلمان مكلفاً تحقيق الجزء الثامن من " طبقات ابن سعد"، وظهر </w:t>
      </w:r>
      <w:r w:rsidRPr="009C27C7">
        <w:rPr>
          <w:rStyle w:val="fontstyle01"/>
          <w:sz w:val="36"/>
          <w:szCs w:val="36"/>
          <w:rtl/>
        </w:rPr>
        <w:lastRenderedPageBreak/>
        <w:t>هذا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المجلد بتحقيقه في برلين،</w:t>
      </w:r>
      <w:r w:rsidR="001D19E9">
        <w:rPr>
          <w:rStyle w:val="fontstyle01"/>
          <w:rFonts w:hint="cs"/>
          <w:sz w:val="36"/>
          <w:szCs w:val="36"/>
          <w:rtl/>
        </w:rPr>
        <w:t xml:space="preserve">1904 </w:t>
      </w:r>
      <w:r w:rsidRPr="009C27C7">
        <w:rPr>
          <w:rStyle w:val="fontstyle01"/>
          <w:sz w:val="36"/>
          <w:szCs w:val="36"/>
          <w:rtl/>
        </w:rPr>
        <w:t>وقد طبع بعناية أكاديمية برلين التي تولت الإنفاق على الكتاب بكل</w:t>
      </w:r>
      <w:r w:rsidR="001D19E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1D19E9">
        <w:rPr>
          <w:rStyle w:val="fontstyle01"/>
          <w:sz w:val="36"/>
          <w:szCs w:val="36"/>
          <w:rtl/>
        </w:rPr>
        <w:t>أجزائه. أما فيما يتصل بنشر "</w:t>
      </w:r>
      <w:r w:rsidRPr="009C27C7">
        <w:rPr>
          <w:rStyle w:val="fontstyle01"/>
          <w:sz w:val="36"/>
          <w:szCs w:val="36"/>
          <w:rtl/>
        </w:rPr>
        <w:t>عيون الأخبار" فقد تولى أمره بنفسه ووجد في</w:t>
      </w:r>
      <w:r w:rsidR="00FF60C1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</w:rPr>
        <w:t>E.Felber</w:t>
      </w:r>
      <w:r w:rsidR="00FF60C1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في فيمار ناشراً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مستعداً لتحمل نفقات الطبع بشرط أن يقدم إليه ب</w:t>
      </w:r>
      <w:r w:rsidR="00FF60C1">
        <w:rPr>
          <w:rStyle w:val="fontstyle01"/>
          <w:sz w:val="36"/>
          <w:szCs w:val="36"/>
          <w:rtl/>
        </w:rPr>
        <w:t>روكلمان في نفس الوقت كتاباً آخر</w:t>
      </w:r>
      <w:r w:rsidR="00FF60C1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أوفر حظاً من الرواج،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لأن النص العربي " لعيون الأخبار" لا يهم إلا القليل من المتخصصين في المكتبات العامة. وكان هذا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الشرط، أو الاقتراح الشرط، هو الذي دفع بروكلمان إلى تصنيف كتابه العظيم : " تاريخ الأدب العربي</w:t>
      </w:r>
      <w:r w:rsidRPr="009C27C7">
        <w:rPr>
          <w:rStyle w:val="fontstyle01"/>
          <w:sz w:val="36"/>
          <w:szCs w:val="36"/>
        </w:rPr>
        <w:t>"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وقد ظهر الن</w:t>
      </w:r>
      <w:r w:rsidR="00FF60C1">
        <w:rPr>
          <w:rStyle w:val="fontstyle01"/>
          <w:rFonts w:hint="cs"/>
          <w:sz w:val="36"/>
          <w:szCs w:val="36"/>
          <w:rtl/>
        </w:rPr>
        <w:t>ّ</w:t>
      </w:r>
      <w:r w:rsidRPr="009C27C7">
        <w:rPr>
          <w:rStyle w:val="fontstyle01"/>
          <w:sz w:val="36"/>
          <w:szCs w:val="36"/>
          <w:rtl/>
        </w:rPr>
        <w:t xml:space="preserve">صف الأول من الجزء الأول في </w:t>
      </w:r>
      <w:r w:rsidR="00FF60C1">
        <w:rPr>
          <w:rStyle w:val="fontstyle01"/>
          <w:rFonts w:hint="cs"/>
          <w:sz w:val="36"/>
          <w:szCs w:val="36"/>
          <w:rtl/>
        </w:rPr>
        <w:t xml:space="preserve">1897 </w:t>
      </w:r>
      <w:r w:rsidRPr="009C27C7">
        <w:rPr>
          <w:rStyle w:val="fontstyle01"/>
          <w:sz w:val="36"/>
          <w:szCs w:val="36"/>
          <w:rtl/>
        </w:rPr>
        <w:t xml:space="preserve">والنصف الثاني في </w:t>
      </w:r>
      <w:r w:rsidR="00FF60C1">
        <w:rPr>
          <w:rStyle w:val="fontstyle01"/>
          <w:rFonts w:hint="cs"/>
          <w:sz w:val="36"/>
          <w:szCs w:val="36"/>
          <w:rtl/>
        </w:rPr>
        <w:t>1898</w:t>
      </w:r>
      <w:r w:rsidRPr="009C27C7">
        <w:rPr>
          <w:rStyle w:val="fontstyle01"/>
          <w:sz w:val="36"/>
          <w:szCs w:val="36"/>
          <w:rtl/>
        </w:rPr>
        <w:t>والجزء الثاني في</w:t>
      </w:r>
      <w:r w:rsidR="00FF60C1">
        <w:rPr>
          <w:rStyle w:val="fontstyle01"/>
          <w:sz w:val="36"/>
          <w:szCs w:val="36"/>
        </w:rPr>
        <w:t xml:space="preserve"> </w:t>
      </w:r>
      <w:r w:rsidR="00FF60C1">
        <w:rPr>
          <w:rStyle w:val="fontstyle01"/>
          <w:rFonts w:hint="cs"/>
          <w:sz w:val="36"/>
          <w:szCs w:val="36"/>
          <w:rtl/>
        </w:rPr>
        <w:t xml:space="preserve">1902 </w:t>
      </w:r>
      <w:r w:rsidRPr="009C27C7">
        <w:rPr>
          <w:rStyle w:val="fontstyle01"/>
          <w:sz w:val="36"/>
          <w:szCs w:val="36"/>
          <w:rtl/>
        </w:rPr>
        <w:t>ثم أعاد بروكلمن طبع الطبعة الأولى في مجلدين مع توسعات كثيرة، وجعلها متمشية مع طبعة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FF60C1">
        <w:rPr>
          <w:rStyle w:val="fontstyle01"/>
          <w:sz w:val="36"/>
          <w:szCs w:val="36"/>
          <w:rtl/>
        </w:rPr>
        <w:t>الملحق هذه، في ليدن</w:t>
      </w:r>
      <w:r w:rsidR="00FF60C1">
        <w:rPr>
          <w:rStyle w:val="fontstyle01"/>
          <w:rFonts w:hint="cs"/>
          <w:sz w:val="36"/>
          <w:szCs w:val="36"/>
          <w:rtl/>
        </w:rPr>
        <w:t xml:space="preserve"> 1943-1949، </w:t>
      </w:r>
      <w:r w:rsidRPr="009C27C7">
        <w:rPr>
          <w:rStyle w:val="fontstyle01"/>
          <w:sz w:val="36"/>
          <w:szCs w:val="36"/>
          <w:rtl/>
        </w:rPr>
        <w:t>وهكذا أصبح الكتاب في وضعه النهائي مؤلفاً من خمسة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مجلدات: المجلدان الأول والثاني: هما الأصل. والمجلدات الثلاثة الباقية هي ملاحق. والأصل والملاحق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يشير كلاهما إلى الآخر ولابد من الرجوع إليها معاً فيكل حالة</w:t>
      </w:r>
      <w:r w:rsidRPr="009C27C7">
        <w:rPr>
          <w:rStyle w:val="fontstyle01"/>
          <w:sz w:val="36"/>
          <w:szCs w:val="36"/>
        </w:rPr>
        <w:t xml:space="preserve"> .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FF60C1">
        <w:rPr>
          <w:rStyle w:val="fontstyle01"/>
          <w:rFonts w:hint="cs"/>
          <w:sz w:val="36"/>
          <w:szCs w:val="36"/>
          <w:rtl/>
        </w:rPr>
        <w:t xml:space="preserve">  </w:t>
      </w:r>
      <w:r w:rsidRPr="009C27C7">
        <w:rPr>
          <w:rStyle w:val="fontstyle01"/>
          <w:sz w:val="36"/>
          <w:szCs w:val="36"/>
          <w:rtl/>
        </w:rPr>
        <w:t>أما الفكرة التي قام عليها هذا الكتاب فهي أن بروكلمان كان بطبعه يكره العرض الشامل، ويميل إلى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9C27C7">
        <w:rPr>
          <w:rStyle w:val="fontstyle01"/>
          <w:sz w:val="36"/>
          <w:szCs w:val="36"/>
          <w:rtl/>
        </w:rPr>
        <w:t>التفاصيل الدقيقة. كما أنه رأى أن الوقت لم يحن لتصنيف تاريخ شامل للأدب العربي ( بالمعنى الأوسع: أي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كل الإنتاج في كل فروع العلم، وهذا أمر ينبغي التنبيه إليه، فكلمة " أدب " في عنوان الكتاب تعني: مجموع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FF60C1">
        <w:rPr>
          <w:rStyle w:val="fontstyle01"/>
          <w:rFonts w:hint="cs"/>
          <w:sz w:val="36"/>
          <w:szCs w:val="36"/>
          <w:rtl/>
        </w:rPr>
        <w:t>م</w:t>
      </w:r>
      <w:r w:rsidRPr="009C27C7">
        <w:rPr>
          <w:rStyle w:val="fontstyle01"/>
          <w:sz w:val="36"/>
          <w:szCs w:val="36"/>
          <w:rtl/>
        </w:rPr>
        <w:t>ا كتب باللغة العربية فيكل فروع العلم) لأن ما طبع منه قليل جداً بالنسبة إلى ما لا يزال مخطوطاً،كما أن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القليل من هذا المطبوع هو الذي نشر نشرا</w:t>
      </w:r>
      <w:r w:rsidR="00FF60C1">
        <w:rPr>
          <w:rStyle w:val="fontstyle01"/>
          <w:sz w:val="36"/>
          <w:szCs w:val="36"/>
          <w:rtl/>
        </w:rPr>
        <w:t>ً علمياً نقدياً محققاً. ومن هنا</w:t>
      </w:r>
      <w:r w:rsidR="00FF60C1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أدرك أنكل بحث في تاريخ الإنتاج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الأدبي والعلمي عند العرب يجب أن يسبقه، أداة له، كتاب شامل يسرد عنوانات ما بقى من هذا التراث، وما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طبع منه، مع استثناء الكتب المجهولة أسماء مؤلفيها وما لا يمكن معرفة تاريخ كتابتها منها. وعلى رأس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السرد المطبوع والمخطوط من مؤلفات كل مؤلف، تكتب نبذة قصيرة تتناول الوقائع المادية في حياة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المؤلف، ويتلوها بيان بمكان ما ورد عنه من أخبار. وقدكان من الطبيعي أن يقع مثل هذا العمل الجبار في أخطاء عديدة وذلك في أرقام المخطوطات،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وفي التورايخ، فضلاً عن الأخطاء الناجمة عن المصادر التي استعان بها، وخصوصاً فهارس المخطوطات</w:t>
      </w:r>
      <w:r w:rsidRPr="009C27C7">
        <w:rPr>
          <w:rStyle w:val="fontstyle01"/>
          <w:sz w:val="36"/>
          <w:szCs w:val="36"/>
        </w:rPr>
        <w:t>.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FF60C1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وصدرت سلسة عن " تاريخ الآداب في الشرق" ابتداءً من </w:t>
      </w:r>
      <w:r w:rsidR="00FF60C1">
        <w:rPr>
          <w:rStyle w:val="fontstyle01"/>
          <w:rFonts w:hint="cs"/>
          <w:sz w:val="36"/>
          <w:szCs w:val="36"/>
          <w:rtl/>
        </w:rPr>
        <w:t xml:space="preserve">1901، </w:t>
      </w:r>
      <w:r w:rsidRPr="009C27C7">
        <w:rPr>
          <w:rStyle w:val="fontstyle01"/>
          <w:sz w:val="36"/>
          <w:szCs w:val="36"/>
          <w:rtl/>
        </w:rPr>
        <w:t>فشارك بروكلمان فيها بتاريخ موجز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 xml:space="preserve">للأدب العربي، وأعيد طبعه مرة ثانية في </w:t>
      </w:r>
      <w:r w:rsidR="00FF60C1">
        <w:rPr>
          <w:rStyle w:val="fontstyle01"/>
          <w:rFonts w:hint="cs"/>
          <w:sz w:val="36"/>
          <w:szCs w:val="36"/>
          <w:rtl/>
        </w:rPr>
        <w:t xml:space="preserve">1909. </w:t>
      </w:r>
      <w:r w:rsidRPr="009C27C7">
        <w:rPr>
          <w:rStyle w:val="fontstyle01"/>
          <w:sz w:val="36"/>
          <w:szCs w:val="36"/>
          <w:rtl/>
        </w:rPr>
        <w:t>كما كتب كتاباً آخر في هذه السلسة بعنوان: " تاريخ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الآداب المسيحية في الشرق،" وفيه تناول تاريخ الأد</w:t>
      </w:r>
      <w:r w:rsidR="00FF60C1">
        <w:rPr>
          <w:rStyle w:val="fontstyle01"/>
          <w:sz w:val="36"/>
          <w:szCs w:val="36"/>
          <w:rtl/>
        </w:rPr>
        <w:t>ب السرياني، وتاريخ الأدب العربي</w:t>
      </w:r>
      <w:r w:rsidR="00FF60C1">
        <w:rPr>
          <w:rStyle w:val="fontstyle01"/>
          <w:rFonts w:hint="cs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المسيحي. وقام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بفهرسة مجموعة صغيرة من المخطوطات الش</w:t>
      </w:r>
      <w:r w:rsidR="00FF60C1">
        <w:rPr>
          <w:rStyle w:val="fontstyle01"/>
          <w:sz w:val="36"/>
          <w:szCs w:val="36"/>
          <w:rtl/>
        </w:rPr>
        <w:t>رقية في مكتبة البلدية في برسلاو</w:t>
      </w:r>
      <w:r w:rsidRPr="009C27C7">
        <w:rPr>
          <w:rStyle w:val="fontstyle01"/>
          <w:sz w:val="36"/>
          <w:szCs w:val="36"/>
          <w:rtl/>
        </w:rPr>
        <w:t>و</w:t>
      </w:r>
      <w:r w:rsidRPr="009C27C7">
        <w:rPr>
          <w:rStyle w:val="fontstyle01"/>
          <w:sz w:val="36"/>
          <w:szCs w:val="36"/>
        </w:rPr>
        <w:t xml:space="preserve"> </w:t>
      </w:r>
      <w:r w:rsidR="00FF60C1">
        <w:rPr>
          <w:rStyle w:val="fontstyle01"/>
          <w:rFonts w:hint="cs"/>
          <w:sz w:val="36"/>
          <w:szCs w:val="36"/>
          <w:rtl/>
        </w:rPr>
        <w:t>1903</w:t>
      </w:r>
      <w:r w:rsidR="00FF60C1" w:rsidRPr="009C27C7">
        <w:rPr>
          <w:rStyle w:val="fontstyle01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كما قام في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السنوات التالية بفهرسة مجموعة ممتازة من المخطوطات الشرقية في مكتبة بلدية همبورج</w:t>
      </w:r>
      <w:r w:rsidRPr="009C27C7">
        <w:rPr>
          <w:rStyle w:val="fontstyle01"/>
          <w:sz w:val="36"/>
          <w:szCs w:val="36"/>
        </w:rPr>
        <w:t>.</w:t>
      </w:r>
      <w:r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FF60C1">
        <w:rPr>
          <w:rStyle w:val="fontstyle01"/>
          <w:rFonts w:hint="cs"/>
          <w:sz w:val="36"/>
          <w:szCs w:val="36"/>
          <w:rtl/>
        </w:rPr>
        <w:lastRenderedPageBreak/>
        <w:t xml:space="preserve">  </w:t>
      </w:r>
      <w:r w:rsidRPr="009C27C7">
        <w:rPr>
          <w:rStyle w:val="fontstyle01"/>
          <w:sz w:val="36"/>
          <w:szCs w:val="36"/>
          <w:rtl/>
        </w:rPr>
        <w:t>ذاعت شهرة بروكلمان في فقه اللغات الغربية منها والشرقية، قراءة وكتابة، كما اشتهر خاصة في أبحاثه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9C27C7">
        <w:rPr>
          <w:rStyle w:val="fontstyle01"/>
          <w:sz w:val="36"/>
          <w:szCs w:val="36"/>
          <w:rtl/>
        </w:rPr>
        <w:t>وتأليفه وتعّمقه في التاريخ الإسلامي وتاريخ الأدب العربي، حتى عُّد علماً من أعلامها. فعين أستاذاً للغات</w:t>
      </w:r>
      <w:r w:rsidR="00FF60C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FF60C1">
        <w:rPr>
          <w:rStyle w:val="fontstyle01"/>
          <w:sz w:val="36"/>
          <w:szCs w:val="36"/>
          <w:rtl/>
        </w:rPr>
        <w:t>الشرقية في جامعات برسلاو</w:t>
      </w:r>
      <w:r w:rsidRPr="009C27C7">
        <w:rPr>
          <w:rStyle w:val="fontstyle01"/>
          <w:sz w:val="36"/>
          <w:szCs w:val="36"/>
          <w:rtl/>
        </w:rPr>
        <w:t>و كونغسبورغ وهاله وبرلين. ثم عاد إلى برسلاو واستقر أخيراً في هاله</w:t>
      </w:r>
      <w:r w:rsidRPr="009C27C7">
        <w:rPr>
          <w:rStyle w:val="fontstyle01"/>
          <w:sz w:val="36"/>
          <w:szCs w:val="36"/>
        </w:rPr>
        <w:t>.</w:t>
      </w:r>
    </w:p>
    <w:p w:rsidR="009C27C7" w:rsidRPr="002440EF" w:rsidRDefault="00FF60C1" w:rsidP="002440EF">
      <w:pPr>
        <w:bidi/>
        <w:rPr>
          <w:rFonts w:ascii="Traditional Arabic" w:hAnsi="Traditional Arabic" w:cs="Traditional Arabic"/>
          <w:color w:val="000000"/>
          <w:sz w:val="36"/>
          <w:szCs w:val="36"/>
        </w:rPr>
      </w:pPr>
      <w:r>
        <w:rPr>
          <w:rStyle w:val="fontstyle01"/>
          <w:rFonts w:hint="cs"/>
          <w:sz w:val="36"/>
          <w:szCs w:val="36"/>
          <w:rtl/>
        </w:rPr>
        <w:t xml:space="preserve">  </w:t>
      </w:r>
      <w:r w:rsidR="009C27C7" w:rsidRPr="009C27C7">
        <w:rPr>
          <w:rStyle w:val="fontstyle01"/>
          <w:sz w:val="36"/>
          <w:szCs w:val="36"/>
          <w:rtl/>
        </w:rPr>
        <w:t>اشتهر بروكلمان بنشاطه العلمي وإنتاجه الغزير، الذي اتصف بالموضوعية والعمق والشمول، والجّدة</w:t>
      </w:r>
      <w:r w:rsidR="009C27C7" w:rsidRPr="009C27C7">
        <w:rPr>
          <w:rStyle w:val="fontstyle01"/>
          <w:sz w:val="36"/>
          <w:szCs w:val="36"/>
        </w:rPr>
        <w:t>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>
        <w:rPr>
          <w:rStyle w:val="fontstyle01"/>
          <w:rFonts w:hint="cs"/>
          <w:sz w:val="36"/>
          <w:szCs w:val="36"/>
          <w:rtl/>
        </w:rPr>
        <w:t>م</w:t>
      </w:r>
      <w:r w:rsidRPr="009C27C7">
        <w:rPr>
          <w:rStyle w:val="fontstyle01"/>
          <w:sz w:val="36"/>
          <w:szCs w:val="36"/>
          <w:rtl/>
        </w:rPr>
        <w:t xml:space="preserve">ما </w:t>
      </w:r>
      <w:r w:rsidR="009C27C7" w:rsidRPr="009C27C7">
        <w:rPr>
          <w:rStyle w:val="fontstyle01"/>
          <w:sz w:val="36"/>
          <w:szCs w:val="36"/>
          <w:rtl/>
        </w:rPr>
        <w:t>جعله مرجعاً للمصنفين في التاريخ الإسلامي والأدب ال</w:t>
      </w:r>
      <w:r>
        <w:rPr>
          <w:rStyle w:val="fontstyle01"/>
          <w:sz w:val="36"/>
          <w:szCs w:val="36"/>
          <w:rtl/>
        </w:rPr>
        <w:t>عربي. وقد انتخب عضواً في مجامع: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="009C27C7" w:rsidRPr="009C27C7">
        <w:rPr>
          <w:rStyle w:val="fontstyle01"/>
          <w:sz w:val="36"/>
          <w:szCs w:val="36"/>
          <w:rtl/>
        </w:rPr>
        <w:t>برلين، لايبزغ،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9C27C7" w:rsidRPr="009C27C7">
        <w:rPr>
          <w:rStyle w:val="fontstyle01"/>
          <w:sz w:val="36"/>
          <w:szCs w:val="36"/>
          <w:rtl/>
        </w:rPr>
        <w:t>بودابست، برن، دمشق، إضافة إلى عدة جمعيات علمية آسيوية</w:t>
      </w:r>
      <w:r w:rsidR="009C27C7" w:rsidRPr="009C27C7">
        <w:rPr>
          <w:rStyle w:val="fontstyle01"/>
          <w:sz w:val="36"/>
          <w:szCs w:val="36"/>
        </w:rPr>
        <w:t>.</w:t>
      </w:r>
      <w:r w:rsidR="009C27C7" w:rsidRPr="009C27C7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9C27C7" w:rsidRPr="009C27C7">
        <w:rPr>
          <w:rStyle w:val="fontstyle01"/>
          <w:sz w:val="36"/>
          <w:szCs w:val="36"/>
          <w:rtl/>
        </w:rPr>
        <w:t xml:space="preserve">إضافة إلى الرسالتين اللتين قدمهما بروكلمان بين عامي </w:t>
      </w:r>
      <w:r w:rsidR="002440EF">
        <w:rPr>
          <w:rStyle w:val="fontstyle01"/>
          <w:rFonts w:hint="cs"/>
          <w:sz w:val="36"/>
          <w:szCs w:val="36"/>
          <w:rtl/>
        </w:rPr>
        <w:t>1890</w:t>
      </w:r>
      <w:r w:rsidR="009C27C7" w:rsidRPr="009C27C7">
        <w:rPr>
          <w:rStyle w:val="fontstyle01"/>
          <w:sz w:val="36"/>
          <w:szCs w:val="36"/>
          <w:rtl/>
        </w:rPr>
        <w:t xml:space="preserve">و </w:t>
      </w:r>
      <w:r w:rsidR="002440EF">
        <w:rPr>
          <w:rStyle w:val="fontstyle01"/>
          <w:rFonts w:hint="cs"/>
          <w:sz w:val="36"/>
          <w:szCs w:val="36"/>
          <w:rtl/>
        </w:rPr>
        <w:t xml:space="preserve">1893 </w:t>
      </w:r>
      <w:r w:rsidR="009C27C7" w:rsidRPr="009C27C7">
        <w:rPr>
          <w:rStyle w:val="fontstyle01"/>
          <w:sz w:val="36"/>
          <w:szCs w:val="36"/>
          <w:rtl/>
        </w:rPr>
        <w:t>للحصول على الدكتوراه من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9C27C7" w:rsidRPr="009C27C7">
        <w:rPr>
          <w:rStyle w:val="fontstyle01"/>
          <w:sz w:val="36"/>
          <w:szCs w:val="36"/>
          <w:rtl/>
        </w:rPr>
        <w:t>جامعة ستراسبورغ، والأستاذية من جامعة برسلاو، ترجم ديوان الشاعر لبيد إلى اللغة الألمانية، وذيله</w:t>
      </w:r>
      <w:r w:rsidR="002440EF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9C27C7" w:rsidRPr="009C27C7">
        <w:rPr>
          <w:rStyle w:val="fontstyle01"/>
          <w:sz w:val="36"/>
          <w:szCs w:val="36"/>
          <w:rtl/>
        </w:rPr>
        <w:t xml:space="preserve">بالحواشي وجعله في جزأين ونشره سنة </w:t>
      </w:r>
      <w:r w:rsidR="002440EF">
        <w:rPr>
          <w:rStyle w:val="fontstyle01"/>
          <w:rFonts w:hint="cs"/>
          <w:sz w:val="36"/>
          <w:szCs w:val="36"/>
          <w:rtl/>
        </w:rPr>
        <w:t xml:space="preserve">1891 </w:t>
      </w:r>
      <w:r w:rsidR="009C27C7" w:rsidRPr="009C27C7">
        <w:rPr>
          <w:rStyle w:val="fontstyle01"/>
          <w:sz w:val="36"/>
          <w:szCs w:val="36"/>
          <w:rtl/>
        </w:rPr>
        <w:t>في ل</w:t>
      </w:r>
      <w:r w:rsidR="002440EF">
        <w:rPr>
          <w:rStyle w:val="fontstyle01"/>
          <w:rFonts w:hint="cs"/>
          <w:sz w:val="36"/>
          <w:szCs w:val="36"/>
          <w:rtl/>
        </w:rPr>
        <w:t>ن</w:t>
      </w:r>
      <w:r w:rsidR="009C27C7" w:rsidRPr="009C27C7">
        <w:rPr>
          <w:rStyle w:val="fontstyle01"/>
          <w:sz w:val="36"/>
          <w:szCs w:val="36"/>
          <w:rtl/>
        </w:rPr>
        <w:t>دن</w:t>
      </w:r>
      <w:r w:rsidR="009C27C7" w:rsidRPr="009C27C7">
        <w:rPr>
          <w:rStyle w:val="fontstyle01"/>
          <w:sz w:val="36"/>
          <w:szCs w:val="36"/>
        </w:rPr>
        <w:t>.</w:t>
      </w:r>
      <w:r w:rsidR="002440EF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9C27C7" w:rsidRPr="009C27C7">
        <w:rPr>
          <w:rStyle w:val="fontstyle01"/>
          <w:sz w:val="36"/>
          <w:szCs w:val="36"/>
          <w:rtl/>
        </w:rPr>
        <w:t xml:space="preserve">ومن مؤلفات بروكلمان المشهورة كتاب "تاريخ الشعوب الإسلامية"، نشره عام </w:t>
      </w:r>
      <w:r w:rsidR="002440EF">
        <w:rPr>
          <w:rStyle w:val="fontstyle01"/>
          <w:rFonts w:hint="cs"/>
          <w:sz w:val="36"/>
          <w:szCs w:val="36"/>
          <w:rtl/>
        </w:rPr>
        <w:t xml:space="preserve">1939 </w:t>
      </w:r>
      <w:r w:rsidR="009C27C7" w:rsidRPr="009C27C7">
        <w:rPr>
          <w:rStyle w:val="fontstyle01"/>
          <w:sz w:val="36"/>
          <w:szCs w:val="36"/>
          <w:rtl/>
        </w:rPr>
        <w:t>ثم نقله إلى</w:t>
      </w:r>
      <w:r w:rsidR="002440EF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9C27C7" w:rsidRPr="009C27C7">
        <w:rPr>
          <w:rStyle w:val="fontstyle01"/>
          <w:sz w:val="36"/>
          <w:szCs w:val="36"/>
          <w:rtl/>
        </w:rPr>
        <w:t xml:space="preserve">العربية نبيه أمين فارس ومنير البعلبكي عام </w:t>
      </w:r>
      <w:r w:rsidR="002440EF">
        <w:rPr>
          <w:rStyle w:val="fontstyle01"/>
          <w:rFonts w:hint="cs"/>
          <w:sz w:val="36"/>
          <w:szCs w:val="36"/>
          <w:rtl/>
        </w:rPr>
        <w:t xml:space="preserve"> 1948 </w:t>
      </w:r>
      <w:r w:rsidR="009C27C7" w:rsidRPr="009C27C7">
        <w:rPr>
          <w:rStyle w:val="fontstyle01"/>
          <w:sz w:val="36"/>
          <w:szCs w:val="36"/>
          <w:rtl/>
        </w:rPr>
        <w:t>وقد أُعيد طبعه مراراً. يمتاز هذا الكتاب بذكر الأحداث</w:t>
      </w:r>
      <w:r w:rsidR="002440EF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2440EF">
        <w:rPr>
          <w:rStyle w:val="fontstyle01"/>
          <w:sz w:val="36"/>
          <w:szCs w:val="36"/>
          <w:rtl/>
        </w:rPr>
        <w:t>التي تعرضت لها الشعوب الإسلامية</w:t>
      </w:r>
      <w:r w:rsidR="002440EF">
        <w:rPr>
          <w:rStyle w:val="fontstyle01"/>
          <w:rFonts w:hint="cs"/>
          <w:sz w:val="36"/>
          <w:szCs w:val="36"/>
          <w:rtl/>
        </w:rPr>
        <w:t xml:space="preserve"> </w:t>
      </w:r>
      <w:r w:rsidR="009C27C7" w:rsidRPr="009C27C7">
        <w:rPr>
          <w:rStyle w:val="fontstyle01"/>
          <w:sz w:val="36"/>
          <w:szCs w:val="36"/>
          <w:rtl/>
        </w:rPr>
        <w:t>إبان حقبة لا تقل عن خمسة عشر قرناً. وكان المؤلف حريصاً على ذكر</w:t>
      </w:r>
      <w:r w:rsidR="002440EF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2440EF">
        <w:rPr>
          <w:rStyle w:val="fontstyle01"/>
          <w:sz w:val="36"/>
          <w:szCs w:val="36"/>
          <w:rtl/>
        </w:rPr>
        <w:t>تواريخ تلك الأحداث.</w:t>
      </w:r>
      <w:r w:rsidR="002440EF">
        <w:rPr>
          <w:rStyle w:val="fontstyle01"/>
          <w:rFonts w:hint="cs"/>
          <w:sz w:val="36"/>
          <w:szCs w:val="36"/>
          <w:rtl/>
        </w:rPr>
        <w:t xml:space="preserve"> </w:t>
      </w:r>
      <w:r w:rsidR="009C27C7" w:rsidRPr="009C27C7">
        <w:rPr>
          <w:rStyle w:val="fontstyle01"/>
          <w:sz w:val="36"/>
          <w:szCs w:val="36"/>
          <w:rtl/>
        </w:rPr>
        <w:t>ووصف ما جرى فيها، مع ذكر الروايات المختلفة التي وردت في المراجع العربية</w:t>
      </w:r>
      <w:r w:rsidR="002440EF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9C27C7" w:rsidRPr="009C27C7">
        <w:rPr>
          <w:rStyle w:val="fontstyle01"/>
          <w:sz w:val="36"/>
          <w:szCs w:val="36"/>
          <w:rtl/>
        </w:rPr>
        <w:t>والأجنبية الرئيسة.</w:t>
      </w:r>
    </w:p>
    <w:sectPr w:rsidR="009C27C7" w:rsidRPr="002440EF" w:rsidSect="002440EF">
      <w:footerReference w:type="default" r:id="rId7"/>
      <w:pgSz w:w="11906" w:h="16838"/>
      <w:pgMar w:top="1417" w:right="1417" w:bottom="1417" w:left="1417" w:header="708" w:footer="708" w:gutter="0"/>
      <w:pgBorders w:offsetFrom="page">
        <w:top w:val="single" w:sz="12" w:space="24" w:color="E36C0A" w:themeColor="accent6" w:themeShade="BF" w:shadow="1"/>
        <w:left w:val="single" w:sz="12" w:space="24" w:color="E36C0A" w:themeColor="accent6" w:themeShade="BF" w:shadow="1"/>
        <w:bottom w:val="single" w:sz="12" w:space="24" w:color="E36C0A" w:themeColor="accent6" w:themeShade="BF" w:shadow="1"/>
        <w:right w:val="single" w:sz="12" w:space="24" w:color="E36C0A" w:themeColor="accent6" w:themeShade="BF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14B" w:rsidRDefault="00A9614B" w:rsidP="00FE28A3">
      <w:pPr>
        <w:spacing w:after="0"/>
      </w:pPr>
      <w:r>
        <w:separator/>
      </w:r>
    </w:p>
  </w:endnote>
  <w:endnote w:type="continuationSeparator" w:id="1">
    <w:p w:rsidR="00A9614B" w:rsidRDefault="00A9614B" w:rsidP="00FE28A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58595"/>
      <w:docPartObj>
        <w:docPartGallery w:val="Page Numbers (Bottom of Page)"/>
        <w:docPartUnique/>
      </w:docPartObj>
    </w:sdtPr>
    <w:sdtContent>
      <w:p w:rsidR="00FE28A3" w:rsidRDefault="00FE28A3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3073" type="#_x0000_t65" style="position:absolute;left:0;text-align:left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3073">
                <w:txbxContent>
                  <w:p w:rsidR="00FE28A3" w:rsidRDefault="00FE28A3">
                    <w:pPr>
                      <w:jc w:val="center"/>
                    </w:pPr>
                    <w:fldSimple w:instr=" PAGE    \* MERGEFORMAT ">
                      <w:r w:rsidRPr="00FE28A3">
                        <w:rPr>
                          <w:noProof/>
                          <w:sz w:val="16"/>
                          <w:szCs w:val="16"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14B" w:rsidRDefault="00A9614B" w:rsidP="00FE28A3">
      <w:pPr>
        <w:spacing w:after="0"/>
      </w:pPr>
      <w:r>
        <w:separator/>
      </w:r>
    </w:p>
  </w:footnote>
  <w:footnote w:type="continuationSeparator" w:id="1">
    <w:p w:rsidR="00A9614B" w:rsidRDefault="00A9614B" w:rsidP="00FE28A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9C27C7"/>
    <w:rsid w:val="001D19E9"/>
    <w:rsid w:val="002440EF"/>
    <w:rsid w:val="002E6F00"/>
    <w:rsid w:val="00900EB0"/>
    <w:rsid w:val="009507A8"/>
    <w:rsid w:val="009C27C7"/>
    <w:rsid w:val="009F1262"/>
    <w:rsid w:val="00A9614B"/>
    <w:rsid w:val="00FE28A3"/>
    <w:rsid w:val="00FF6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9C27C7"/>
    <w:rPr>
      <w:rFonts w:ascii="Traditional Arabic" w:hAnsi="Traditional Arabic" w:cs="Traditional Arabic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Policepardfaut"/>
    <w:rsid w:val="009C27C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En-tte">
    <w:name w:val="header"/>
    <w:basedOn w:val="Normal"/>
    <w:link w:val="En-tteCar"/>
    <w:uiPriority w:val="99"/>
    <w:semiHidden/>
    <w:unhideWhenUsed/>
    <w:rsid w:val="00FE28A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FE28A3"/>
  </w:style>
  <w:style w:type="paragraph" w:styleId="Pieddepage">
    <w:name w:val="footer"/>
    <w:basedOn w:val="Normal"/>
    <w:link w:val="PieddepageCar"/>
    <w:uiPriority w:val="99"/>
    <w:semiHidden/>
    <w:unhideWhenUsed/>
    <w:rsid w:val="00FE28A3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28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4A14D-9191-4060-97DF-5B9C1F7A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1195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2</cp:revision>
  <dcterms:created xsi:type="dcterms:W3CDTF">2026-01-30T21:04:00Z</dcterms:created>
  <dcterms:modified xsi:type="dcterms:W3CDTF">2026-01-31T01:21:00Z</dcterms:modified>
</cp:coreProperties>
</file>