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A8" w:rsidRDefault="00340D8D" w:rsidP="00340D8D">
      <w:pPr>
        <w:bidi/>
        <w:rPr>
          <w:rFonts w:ascii="Traditional Arabic" w:hAnsi="Traditional Arabic" w:cs="Traditional Arabic"/>
          <w:b/>
          <w:bCs/>
          <w:color w:val="984806" w:themeColor="accent6" w:themeShade="80"/>
          <w:sz w:val="36"/>
          <w:szCs w:val="36"/>
          <w:rtl/>
          <w:lang w:bidi="ar-DZ"/>
        </w:rPr>
      </w:pPr>
      <w:r w:rsidRPr="00340D8D">
        <w:rPr>
          <w:rFonts w:ascii="Traditional Arabic" w:hAnsi="Traditional Arabic" w:cs="Traditional Arabic" w:hint="cs"/>
          <w:b/>
          <w:bCs/>
          <w:color w:val="984806" w:themeColor="accent6" w:themeShade="80"/>
          <w:sz w:val="36"/>
          <w:szCs w:val="36"/>
          <w:rtl/>
          <w:lang w:bidi="ar-DZ"/>
        </w:rPr>
        <w:t>المحاضرة العاشرة:</w:t>
      </w:r>
    </w:p>
    <w:p w:rsidR="00340D8D" w:rsidRDefault="00340D8D" w:rsidP="00340D8D">
      <w:pPr>
        <w:bidi/>
        <w:rPr>
          <w:rFonts w:ascii="Traditional Arabic" w:hAnsi="Traditional Arabic" w:cs="Traditional Arabic"/>
          <w:b/>
          <w:bCs/>
          <w:color w:val="92D050"/>
          <w:sz w:val="36"/>
          <w:szCs w:val="36"/>
          <w:rtl/>
          <w:lang w:bidi="ar-DZ"/>
        </w:rPr>
      </w:pPr>
      <w:r w:rsidRPr="00340D8D">
        <w:rPr>
          <w:rFonts w:ascii="Traditional Arabic" w:hAnsi="Traditional Arabic" w:cs="Traditional Arabic"/>
          <w:b/>
          <w:bCs/>
          <w:color w:val="92D050"/>
          <w:sz w:val="36"/>
          <w:szCs w:val="36"/>
          <w:rtl/>
          <w:lang w:bidi="ar-DZ"/>
        </w:rPr>
        <w:t>مارجوليوت وآراؤه في اللّغة العربية والشعر الجاهلي</w:t>
      </w:r>
    </w:p>
    <w:p w:rsidR="00340D8D" w:rsidRDefault="00340D8D" w:rsidP="005461EA">
      <w:pPr>
        <w:bidi/>
        <w:rPr>
          <w:rFonts w:ascii="Traditional Arabic" w:hAnsi="Traditional Arabic" w:cs="Traditional Arabic"/>
          <w:b/>
          <w:bCs/>
          <w:color w:val="984806" w:themeColor="accent6" w:themeShade="80"/>
          <w:sz w:val="36"/>
          <w:szCs w:val="36"/>
          <w:rtl/>
          <w:lang w:bidi="ar-DZ"/>
        </w:rPr>
      </w:pPr>
      <w:r>
        <w:rPr>
          <w:rStyle w:val="fontstyle01"/>
          <w:rFonts w:hint="cs"/>
          <w:sz w:val="36"/>
          <w:szCs w:val="36"/>
          <w:rtl/>
        </w:rPr>
        <w:t xml:space="preserve">  </w:t>
      </w:r>
      <w:r w:rsidRPr="00340D8D">
        <w:rPr>
          <w:rStyle w:val="fontstyle01"/>
          <w:sz w:val="36"/>
          <w:szCs w:val="36"/>
          <w:rtl/>
        </w:rPr>
        <w:t>ديفد صمويل مرجليوث</w:t>
      </w:r>
      <w:r>
        <w:rPr>
          <w:rStyle w:val="fontstyle01"/>
          <w:rFonts w:hint="cs"/>
          <w:sz w:val="36"/>
          <w:szCs w:val="36"/>
          <w:rtl/>
        </w:rPr>
        <w:t>:</w:t>
      </w:r>
      <w:r w:rsidRPr="00340D8D">
        <w:rPr>
          <w:rStyle w:val="fontstyle01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</w:rPr>
        <w:t>David Samuel Margoliouth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 xml:space="preserve">مستشرق انجليزي </w:t>
      </w:r>
      <w:r>
        <w:rPr>
          <w:rStyle w:val="fontstyle01"/>
          <w:rFonts w:hint="cs"/>
          <w:sz w:val="36"/>
          <w:szCs w:val="36"/>
          <w:rtl/>
        </w:rPr>
        <w:t>1858-1940</w:t>
      </w:r>
      <w:r w:rsidRPr="00340D8D">
        <w:rPr>
          <w:rStyle w:val="fontstyle01"/>
          <w:sz w:val="36"/>
          <w:szCs w:val="36"/>
          <w:rtl/>
        </w:rPr>
        <w:t xml:space="preserve">. بدأت عنايته بالدراسات العربية والسامية بعد أن عُيِّن أستاذا في جامعة أكسفورد سنة </w:t>
      </w:r>
      <w:r>
        <w:rPr>
          <w:rStyle w:val="fontstyle01"/>
          <w:rFonts w:hint="cs"/>
          <w:sz w:val="36"/>
          <w:szCs w:val="36"/>
          <w:rtl/>
        </w:rPr>
        <w:t>1889.</w:t>
      </w:r>
      <w:r w:rsidRPr="00340D8D">
        <w:rPr>
          <w:rStyle w:val="fontstyle01"/>
          <w:sz w:val="36"/>
          <w:szCs w:val="36"/>
          <w:rtl/>
        </w:rPr>
        <w:t xml:space="preserve">كتب بحثا عن أوراق البردي العربية في مكتبة بودلي بأوكسفورد </w:t>
      </w:r>
      <w:r>
        <w:rPr>
          <w:rStyle w:val="fontstyle01"/>
          <w:rFonts w:hint="cs"/>
          <w:sz w:val="36"/>
          <w:szCs w:val="36"/>
          <w:rtl/>
        </w:rPr>
        <w:t>1853</w:t>
      </w:r>
      <w:r w:rsidRPr="00340D8D">
        <w:rPr>
          <w:rStyle w:val="fontstyle01"/>
          <w:sz w:val="36"/>
          <w:szCs w:val="36"/>
          <w:rtl/>
        </w:rPr>
        <w:t>، وترجم قِّسما كبيرا من تفسير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 xml:space="preserve">البيضاوي إلى الإنجليزية سنة </w:t>
      </w:r>
      <w:r>
        <w:rPr>
          <w:rStyle w:val="fontstyle01"/>
          <w:rFonts w:hint="cs"/>
          <w:sz w:val="36"/>
          <w:szCs w:val="36"/>
          <w:rtl/>
        </w:rPr>
        <w:t>1894</w:t>
      </w:r>
      <w:r w:rsidRPr="00340D8D">
        <w:rPr>
          <w:rStyle w:val="fontstyle01"/>
          <w:sz w:val="36"/>
          <w:szCs w:val="36"/>
          <w:rtl/>
        </w:rPr>
        <w:t xml:space="preserve"> كما نشر رسائل أبي العلاء المعري سنة </w:t>
      </w:r>
      <w:r>
        <w:rPr>
          <w:rStyle w:val="fontstyle01"/>
          <w:rFonts w:hint="cs"/>
          <w:sz w:val="36"/>
          <w:szCs w:val="36"/>
          <w:rtl/>
        </w:rPr>
        <w:t>1898.</w:t>
      </w:r>
      <w:r w:rsidRPr="00340D8D">
        <w:rPr>
          <w:rFonts w:ascii="Traditional Arabic" w:hAnsi="Traditional Arabic" w:cs="Traditional Arabic"/>
          <w:color w:val="000000"/>
          <w:sz w:val="36"/>
          <w:szCs w:val="36"/>
        </w:rPr>
        <w:br/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 xml:space="preserve">وفي سنة </w:t>
      </w:r>
      <w:r>
        <w:rPr>
          <w:rStyle w:val="fontstyle01"/>
          <w:rFonts w:hint="cs"/>
          <w:sz w:val="36"/>
          <w:szCs w:val="36"/>
          <w:rtl/>
        </w:rPr>
        <w:t>1905</w:t>
      </w:r>
      <w:r w:rsidRPr="00340D8D">
        <w:rPr>
          <w:rStyle w:val="fontstyle01"/>
          <w:sz w:val="36"/>
          <w:szCs w:val="36"/>
          <w:rtl/>
        </w:rPr>
        <w:t xml:space="preserve"> بدأ بنشر دراساته عن الإسلام، وذلك بكتاب (محمد ونشأة الإسلام) ثم</w:t>
      </w:r>
      <w:r w:rsidRPr="00340D8D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340D8D">
        <w:rPr>
          <w:rStyle w:val="fontstyle01"/>
          <w:sz w:val="36"/>
          <w:szCs w:val="36"/>
          <w:rtl/>
        </w:rPr>
        <w:t>كتاب(الإسلام)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 xml:space="preserve">سنة </w:t>
      </w:r>
      <w:r>
        <w:rPr>
          <w:rStyle w:val="fontstyle01"/>
          <w:rFonts w:hint="cs"/>
          <w:sz w:val="36"/>
          <w:szCs w:val="36"/>
          <w:rtl/>
        </w:rPr>
        <w:t>1911</w:t>
      </w:r>
      <w:r w:rsidRPr="00340D8D">
        <w:rPr>
          <w:rStyle w:val="fontstyle01"/>
          <w:sz w:val="36"/>
          <w:szCs w:val="36"/>
          <w:rtl/>
        </w:rPr>
        <w:t>، ثم نشر محاضرات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 xml:space="preserve">كان قد ألقاها عن تطُّور الإسلام في بدايته سنة </w:t>
      </w:r>
      <w:r>
        <w:rPr>
          <w:rStyle w:val="fontstyle01"/>
          <w:rFonts w:hint="cs"/>
          <w:sz w:val="36"/>
          <w:szCs w:val="36"/>
          <w:rtl/>
        </w:rPr>
        <w:t>1914</w:t>
      </w:r>
      <w:r w:rsidRPr="00340D8D">
        <w:rPr>
          <w:rStyle w:val="fontstyle01"/>
          <w:sz w:val="36"/>
          <w:szCs w:val="36"/>
          <w:rtl/>
        </w:rPr>
        <w:t>،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 xml:space="preserve">والعلاقات بين العرب واليهود سنة </w:t>
      </w:r>
      <w:r>
        <w:rPr>
          <w:rStyle w:val="fontstyle01"/>
          <w:rFonts w:hint="cs"/>
          <w:sz w:val="36"/>
          <w:szCs w:val="36"/>
          <w:rtl/>
        </w:rPr>
        <w:t>1924</w:t>
      </w:r>
      <w:r w:rsidRPr="00340D8D">
        <w:rPr>
          <w:rStyle w:val="fontstyle01"/>
          <w:sz w:val="36"/>
          <w:szCs w:val="36"/>
          <w:rtl/>
        </w:rPr>
        <w:t>، كما نشر مجموعة من الكتب التراثية المتنوعة، وقد اختاره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 xml:space="preserve">المجمع العلمي العربي في دمشق عضوا مراسلا عند نشأته في سنة </w:t>
      </w:r>
      <w:r>
        <w:rPr>
          <w:rStyle w:val="fontstyle01"/>
          <w:rFonts w:hint="cs"/>
          <w:sz w:val="36"/>
          <w:szCs w:val="36"/>
          <w:rtl/>
        </w:rPr>
        <w:t>1920.</w:t>
      </w:r>
      <w:r w:rsidRPr="00340D8D">
        <w:rPr>
          <w:rFonts w:ascii="Traditional Arabic" w:hAnsi="Traditional Arabic" w:cs="Traditional Arabic"/>
          <w:color w:val="000000"/>
          <w:sz w:val="36"/>
          <w:szCs w:val="36"/>
        </w:rPr>
        <w:br/>
      </w:r>
      <w:r>
        <w:rPr>
          <w:rStyle w:val="fontstyle01"/>
          <w:rFonts w:hint="cs"/>
          <w:sz w:val="36"/>
          <w:szCs w:val="36"/>
          <w:rtl/>
        </w:rPr>
        <w:t xml:space="preserve">  </w:t>
      </w:r>
      <w:r w:rsidRPr="00340D8D">
        <w:rPr>
          <w:rStyle w:val="fontstyle01"/>
          <w:sz w:val="36"/>
          <w:szCs w:val="36"/>
          <w:rtl/>
        </w:rPr>
        <w:t>والحديث عن مرجليوث هو حديث عن قضية النحل والانتحال في أدب الجاهلية والتي تناولها علماء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اللغة القدامى منذ القرن الثاني للهجرة، وخصوصا في القرنين الثالث والرابع، وتراوحت دراستها بين ابن سلام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الجمحي قديما ثم مرجليوث من المستشرقين حديثا، ليتلَّقف طه حسين أفكار هذا المستشرق ويدلي بدلوه</w:t>
      </w:r>
      <w:r>
        <w:rPr>
          <w:rStyle w:val="fontstyle01"/>
          <w:rFonts w:hint="cs"/>
          <w:sz w:val="36"/>
          <w:szCs w:val="36"/>
          <w:rtl/>
        </w:rPr>
        <w:t xml:space="preserve"> في</w:t>
      </w:r>
      <w:r w:rsidRPr="00340D8D">
        <w:rPr>
          <w:rStyle w:val="fontstyle01"/>
          <w:sz w:val="36"/>
          <w:szCs w:val="36"/>
          <w:rtl/>
        </w:rPr>
        <w:t xml:space="preserve"> المسألة</w:t>
      </w:r>
      <w:r w:rsidRPr="00340D8D">
        <w:rPr>
          <w:rStyle w:val="fontstyle01"/>
          <w:sz w:val="36"/>
          <w:szCs w:val="36"/>
        </w:rPr>
        <w:t>.</w:t>
      </w:r>
      <w:r w:rsidRPr="00340D8D">
        <w:rPr>
          <w:rStyle w:val="fontstyle01"/>
          <w:sz w:val="36"/>
          <w:szCs w:val="36"/>
          <w:rtl/>
        </w:rPr>
        <w:t xml:space="preserve">على أن الناظر في تطور هذه </w:t>
      </w:r>
      <w:r>
        <w:rPr>
          <w:rStyle w:val="fontstyle01"/>
          <w:sz w:val="36"/>
          <w:szCs w:val="36"/>
          <w:rtl/>
        </w:rPr>
        <w:t>القضية النقدية يلاحظ أن التشكيك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في أدب الجاهلية أخذ منحى آخر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مع المستشرق مرجليوث، إذ يع</w:t>
      </w:r>
      <w:r>
        <w:rPr>
          <w:rStyle w:val="fontstyle01"/>
          <w:sz w:val="36"/>
          <w:szCs w:val="36"/>
          <w:rtl/>
        </w:rPr>
        <w:t>ُّد من أوائل من أثار مسألة الشك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في الشعر الجاهلي حديثا، من خلال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البحث الذي نشره في مجلة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(الجامعة الآسيوية الملكية)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الإنجليزية والمعنون ب</w:t>
      </w:r>
      <w:r w:rsidR="005461EA">
        <w:rPr>
          <w:rStyle w:val="fontstyle01"/>
          <w:sz w:val="36"/>
          <w:szCs w:val="36"/>
        </w:rPr>
        <w:t xml:space="preserve">y </w:t>
      </w:r>
      <w:r w:rsidRPr="00340D8D">
        <w:rPr>
          <w:rStyle w:val="fontstyle01"/>
          <w:sz w:val="36"/>
          <w:szCs w:val="36"/>
          <w:rtl/>
        </w:rPr>
        <w:t>ـ</w:t>
      </w:r>
      <w:r w:rsidRPr="00340D8D">
        <w:rPr>
          <w:rStyle w:val="fontstyle01"/>
          <w:sz w:val="36"/>
          <w:szCs w:val="36"/>
        </w:rPr>
        <w:t xml:space="preserve"> The original Arabi</w:t>
      </w:r>
      <w:r w:rsidR="005461EA">
        <w:rPr>
          <w:rStyle w:val="fontstyle01"/>
          <w:sz w:val="36"/>
          <w:szCs w:val="36"/>
        </w:rPr>
        <w:t xml:space="preserve"> </w:t>
      </w:r>
      <w:r>
        <w:rPr>
          <w:rStyle w:val="fontstyle01"/>
          <w:sz w:val="36"/>
          <w:szCs w:val="36"/>
        </w:rPr>
        <w:t>poetr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والمترجم في كتاب</w:t>
      </w:r>
      <w:r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(أصول الشعر العربي)، وفيه يعتقد أن ما وصل إليه في بحثه "كاف لوضع كلما يُقال إنه شعر جاهلي وبما فيه أيضا</w:t>
      </w:r>
      <w:r w:rsidR="005461EA">
        <w:rPr>
          <w:rStyle w:val="fontstyle01"/>
          <w:rFonts w:hint="cs"/>
          <w:sz w:val="36"/>
          <w:szCs w:val="36"/>
          <w:rtl/>
        </w:rPr>
        <w:t xml:space="preserve"> </w:t>
      </w:r>
      <w:r w:rsidRPr="00340D8D">
        <w:rPr>
          <w:rStyle w:val="fontstyle01"/>
          <w:sz w:val="36"/>
          <w:szCs w:val="36"/>
          <w:rtl/>
        </w:rPr>
        <w:t>كل الشعر السابق على العهد الأموي موضع الشك</w:t>
      </w:r>
      <w:r w:rsidR="005461EA">
        <w:rPr>
          <w:rStyle w:val="fontstyle01"/>
          <w:rFonts w:hint="cs"/>
          <w:sz w:val="36"/>
          <w:szCs w:val="36"/>
          <w:rtl/>
        </w:rPr>
        <w:t>"</w:t>
      </w:r>
      <w:r w:rsidR="005461EA">
        <w:rPr>
          <w:rStyle w:val="Appelnotedebasdep"/>
          <w:rFonts w:ascii="Traditional Arabic" w:hAnsi="Traditional Arabic" w:cs="Traditional Arabic"/>
          <w:color w:val="000000"/>
          <w:sz w:val="36"/>
          <w:szCs w:val="36"/>
        </w:rPr>
        <w:footnoteReference w:id="2"/>
      </w:r>
    </w:p>
    <w:p w:rsidR="005461EA" w:rsidRPr="005461EA" w:rsidRDefault="005461EA" w:rsidP="005461EA">
      <w:pPr>
        <w:bidi/>
        <w:rPr>
          <w:rFonts w:ascii="Traditional Arabic" w:hAnsi="Traditional Arabic" w:cs="Traditional Arabic"/>
          <w:b/>
          <w:bCs/>
          <w:color w:val="984806" w:themeColor="accent6" w:themeShade="80"/>
          <w:sz w:val="36"/>
          <w:szCs w:val="36"/>
          <w:lang w:bidi="ar-DZ"/>
        </w:rPr>
      </w:pP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فالشعر الجاهلي بالنسبة لمرجليوث ليس وليد فترة ما قبل الإسلام، بل هو نتاج مرحلة تالية لظهور</w:t>
      </w:r>
      <w:r w:rsidRPr="005461EA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الإسلام، والشعر الإسلامي لا يرجع بدوره للعصر الإسلامي .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فقد أبدى مرجليوث ش َّكه في كيفية انتقال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الشعر الجاهلي وح َصره في الكتابة أو الرواية الشفوية، ُمثيرا شكوكا حول الطريقة الثانية</w:t>
      </w:r>
      <w:r w:rsidRPr="005461EA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 w:rsidRPr="005461EA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lastRenderedPageBreak/>
        <w:t>ومجمل الكلام أن الشعر الذي يزعم أنه جاهلي إنما هو مرحلة تالية للقرآن لا سابقة عليه من منظور</w:t>
      </w:r>
      <w:r w:rsidRPr="005461EA">
        <w:rPr>
          <w:rFonts w:ascii="Traditional Arabic" w:hAnsi="Traditional Arabic" w:cs="Traditional Arabic"/>
          <w:color w:val="000000"/>
          <w:sz w:val="36"/>
          <w:szCs w:val="36"/>
        </w:rPr>
        <w:br/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مرجليوث</w:t>
      </w:r>
      <w:r>
        <w:rPr>
          <w:rStyle w:val="Appelnotedebasdep"/>
          <w:rFonts w:ascii="Traditional Arabic" w:hAnsi="Traditional Arabic" w:cs="Traditional Arabic"/>
          <w:color w:val="000000"/>
          <w:sz w:val="36"/>
          <w:szCs w:val="36"/>
          <w:rtl/>
        </w:rPr>
        <w:footnoteReference w:id="3"/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.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ومعلوم كيف أن هذا الموقف من الشعر الجاهلي والإسلامي بين مرفوض ومشكوك فيه، يحاول بطريقة ما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أن يثير بعض الشبهات الخطيرة، ناهيك عن مقولات أخرى أطلقها هذا المستشرق وتبناها ييره</w:t>
      </w:r>
      <w:r w:rsidRPr="005461EA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فرفْض الشعر الجاهلي والإسلامي أو التشكيك فيهما هو تشكيك بفصاحة العرب، ولا ريب أن القرآن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نزل بلسان عربي ُمبين على أمة البلاية والفصاحة والنظم، وهذا يعُّد وجها من وجوه الإعجاز، فسمو بلاية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الفرقان ونظمه وبديع</w:t>
      </w: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 أسلوبه أعجز أساطين البيان ﴿ أَم يـَ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قول</w:t>
      </w: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>ُوَن تَـَقَّولَهُ بَل لا يـُ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ؤِّمنُوَن * فَـْليَ</w:t>
      </w: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>أْتُوا بِّحديث ِّمثْلِّه إِّ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ن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 xml:space="preserve">كانُوا َصاِّدقِّين ﴾ {لطور: 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33</w:t>
      </w: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>،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34</w:t>
      </w:r>
      <w:r>
        <w:rPr>
          <w:rFonts w:ascii="Traditional Arabic" w:hAnsi="Traditional Arabic" w:cs="Traditional Arabic"/>
          <w:color w:val="000000"/>
          <w:sz w:val="36"/>
          <w:szCs w:val="36"/>
          <w:rtl/>
        </w:rPr>
        <w:t>}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وهذا التحدي موَّجه لأناس هم أهل الفصاحة والبيان، وليس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كما ادعى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مرجليوث</w:t>
      </w:r>
      <w:r w:rsidRPr="005461EA">
        <w:rPr>
          <w:rFonts w:ascii="Traditional Arabic" w:hAnsi="Traditional Arabic" w:cs="Traditional Arabic"/>
          <w:color w:val="000000"/>
          <w:sz w:val="36"/>
          <w:szCs w:val="36"/>
        </w:rPr>
        <w:t>.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ناهيك عن تحامله على النبي - صلى الله عليه وسلم - وسيرته الشريفة، وتأويله الخاطئ لكثير من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 xml:space="preserve"> </w:t>
      </w:r>
      <w:r w:rsidRPr="005461EA">
        <w:rPr>
          <w:rFonts w:ascii="Traditional Arabic" w:hAnsi="Traditional Arabic" w:cs="Traditional Arabic"/>
          <w:color w:val="000000"/>
          <w:sz w:val="36"/>
          <w:szCs w:val="36"/>
          <w:rtl/>
        </w:rPr>
        <w:t>أحداث السيرة النبوية، وتشكيكه في الأسانيد معارضا بذلك ما تو َّصل إليه المحِّققون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</w:rPr>
        <w:t>.</w:t>
      </w:r>
    </w:p>
    <w:sectPr w:rsidR="005461EA" w:rsidRPr="005461EA" w:rsidSect="00D713C9">
      <w:footerReference w:type="default" r:id="rId7"/>
      <w:pgSz w:w="11906" w:h="16838"/>
      <w:pgMar w:top="1417" w:right="1417" w:bottom="1417" w:left="1417" w:header="708" w:footer="708" w:gutter="0"/>
      <w:pgBorders w:offsetFrom="page">
        <w:top w:val="single" w:sz="12" w:space="24" w:color="E36C0A" w:themeColor="accent6" w:themeShade="BF" w:shadow="1"/>
        <w:left w:val="single" w:sz="12" w:space="24" w:color="E36C0A" w:themeColor="accent6" w:themeShade="BF" w:shadow="1"/>
        <w:bottom w:val="single" w:sz="12" w:space="24" w:color="E36C0A" w:themeColor="accent6" w:themeShade="BF" w:shadow="1"/>
        <w:right w:val="single" w:sz="12" w:space="24" w:color="E36C0A" w:themeColor="accent6" w:themeShade="BF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779" w:rsidRDefault="002D3779" w:rsidP="005461EA">
      <w:pPr>
        <w:spacing w:after="0"/>
      </w:pPr>
      <w:r>
        <w:separator/>
      </w:r>
    </w:p>
  </w:endnote>
  <w:endnote w:type="continuationSeparator" w:id="1">
    <w:p w:rsidR="002D3779" w:rsidRDefault="002D3779" w:rsidP="005461E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579792"/>
      <w:docPartObj>
        <w:docPartGallery w:val="Page Numbers (Bottom of Page)"/>
        <w:docPartUnique/>
      </w:docPartObj>
    </w:sdtPr>
    <w:sdtContent>
      <w:p w:rsidR="00D713C9" w:rsidRDefault="00D713C9">
        <w:pPr>
          <w:pStyle w:val="Pieddepage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3073" type="#_x0000_t65" style="position:absolute;left:0;text-align:left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3073">
                <w:txbxContent>
                  <w:p w:rsidR="00D713C9" w:rsidRDefault="00D713C9">
                    <w:pPr>
                      <w:jc w:val="center"/>
                    </w:pPr>
                    <w:fldSimple w:instr=" PAGE    \* MERGEFORMAT ">
                      <w:r w:rsidR="009C6B0B" w:rsidRPr="009C6B0B">
                        <w:rPr>
                          <w:noProof/>
                          <w:sz w:val="16"/>
                          <w:szCs w:val="16"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779" w:rsidRDefault="002D3779" w:rsidP="005461EA">
      <w:pPr>
        <w:bidi/>
        <w:spacing w:after="0"/>
      </w:pPr>
      <w:r>
        <w:separator/>
      </w:r>
    </w:p>
  </w:footnote>
  <w:footnote w:type="continuationSeparator" w:id="1">
    <w:p w:rsidR="002D3779" w:rsidRDefault="002D3779" w:rsidP="005461EA">
      <w:pPr>
        <w:spacing w:after="0"/>
      </w:pPr>
      <w:r>
        <w:continuationSeparator/>
      </w:r>
    </w:p>
  </w:footnote>
  <w:footnote w:id="2">
    <w:p w:rsidR="005461EA" w:rsidRPr="009C6B0B" w:rsidRDefault="005461EA" w:rsidP="005461EA">
      <w:pPr>
        <w:pStyle w:val="Notedebasdepage"/>
        <w:bidi/>
        <w:rPr>
          <w:sz w:val="32"/>
          <w:szCs w:val="32"/>
          <w:rtl/>
          <w:lang w:bidi="ar-DZ"/>
        </w:rPr>
      </w:pPr>
      <w:r w:rsidRPr="009C6B0B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9C6B0B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9C6B0B">
        <w:rPr>
          <w:rFonts w:ascii="Traditional Arabic" w:hAnsi="Traditional Arabic" w:cs="Traditional Arabic"/>
          <w:sz w:val="32"/>
          <w:szCs w:val="32"/>
          <w:rtl/>
        </w:rPr>
        <w:t>- د</w:t>
      </w:r>
      <w:r w:rsidRPr="009C6B0B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يفيد صمويل مرجليوث، أصول الشعر العربي، ترجمة وتعليق ودراسة د. إبراهيم عوض، دار الفردوس، </w:t>
      </w:r>
      <w:r w:rsidRPr="009C6B0B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2006</w:t>
      </w:r>
      <w:r w:rsidRPr="009C6B0B">
        <w:rPr>
          <w:rFonts w:ascii="Traditional Arabic" w:hAnsi="Traditional Arabic" w:cs="Traditional Arabic"/>
          <w:color w:val="000000"/>
          <w:sz w:val="32"/>
          <w:szCs w:val="32"/>
          <w:rtl/>
        </w:rPr>
        <w:t>م، ص</w:t>
      </w:r>
      <w:r w:rsidRPr="009C6B0B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 xml:space="preserve"> 107</w:t>
      </w:r>
    </w:p>
  </w:footnote>
  <w:footnote w:id="3">
    <w:p w:rsidR="005461EA" w:rsidRPr="009C6B0B" w:rsidRDefault="005461EA" w:rsidP="009C6B0B">
      <w:pPr>
        <w:pStyle w:val="Notedebasdepage"/>
        <w:bidi/>
        <w:rPr>
          <w:sz w:val="32"/>
          <w:szCs w:val="32"/>
          <w:rtl/>
          <w:lang w:bidi="ar-DZ"/>
        </w:rPr>
      </w:pPr>
      <w:r w:rsidRPr="009C6B0B">
        <w:rPr>
          <w:rStyle w:val="Appelnotedebasdep"/>
          <w:rFonts w:ascii="Traditional Arabic" w:hAnsi="Traditional Arabic" w:cs="Traditional Arabic"/>
          <w:sz w:val="32"/>
          <w:szCs w:val="32"/>
        </w:rPr>
        <w:footnoteRef/>
      </w:r>
      <w:r w:rsidRPr="009C6B0B">
        <w:rPr>
          <w:rFonts w:ascii="Traditional Arabic" w:hAnsi="Traditional Arabic" w:cs="Traditional Arabic"/>
          <w:sz w:val="32"/>
          <w:szCs w:val="32"/>
        </w:rPr>
        <w:t xml:space="preserve"> </w:t>
      </w:r>
      <w:r w:rsidRPr="009C6B0B">
        <w:rPr>
          <w:rFonts w:ascii="Traditional Arabic" w:hAnsi="Traditional Arabic" w:cs="Traditional Arabic"/>
          <w:sz w:val="32"/>
          <w:szCs w:val="32"/>
          <w:rtl/>
          <w:lang w:bidi="ar-DZ"/>
        </w:rPr>
        <w:t>-</w:t>
      </w:r>
      <w:r w:rsidRPr="009C6B0B">
        <w:rPr>
          <w:rFonts w:hint="cs"/>
          <w:sz w:val="32"/>
          <w:szCs w:val="32"/>
          <w:rtl/>
          <w:lang w:bidi="ar-DZ"/>
        </w:rPr>
        <w:t xml:space="preserve"> </w:t>
      </w:r>
      <w:r w:rsidRPr="009C6B0B">
        <w:rPr>
          <w:rFonts w:ascii="Traditional Arabic" w:hAnsi="Traditional Arabic" w:cs="Traditional Arabic"/>
          <w:sz w:val="32"/>
          <w:szCs w:val="32"/>
          <w:rtl/>
          <w:lang w:bidi="ar-DZ"/>
        </w:rPr>
        <w:t>د</w:t>
      </w:r>
      <w:r w:rsidRPr="009C6B0B">
        <w:rPr>
          <w:rFonts w:ascii="Traditional Arabic" w:hAnsi="Traditional Arabic" w:cs="Traditional Arabic"/>
          <w:color w:val="000000"/>
          <w:sz w:val="32"/>
          <w:szCs w:val="32"/>
          <w:rtl/>
        </w:rPr>
        <w:t>يفيد صمويل مرجليوث، أصول الشعر العربي ، وينظر أيضا: دراسة للموضوع من وجهة نظر المستشرقين فيما جمعه عبد الرحمن بدوي من</w:t>
      </w:r>
      <w:r w:rsidR="009C6B0B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9C6B0B">
        <w:rPr>
          <w:rFonts w:ascii="Traditional Arabic" w:hAnsi="Traditional Arabic" w:cs="Traditional Arabic"/>
          <w:color w:val="000000"/>
          <w:sz w:val="32"/>
          <w:szCs w:val="32"/>
          <w:rtl/>
        </w:rPr>
        <w:t>مقالات بعض المستشرقين: دراسة ال</w:t>
      </w:r>
      <w:r w:rsidR="009C6B0B">
        <w:rPr>
          <w:rFonts w:ascii="Traditional Arabic" w:hAnsi="Traditional Arabic" w:cs="Traditional Arabic"/>
          <w:color w:val="000000"/>
          <w:sz w:val="32"/>
          <w:szCs w:val="32"/>
          <w:rtl/>
        </w:rPr>
        <w:t>مستشرقين حول صحة الشعر الجاهلي،</w:t>
      </w:r>
      <w:r w:rsidR="009C6B0B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9C6B0B">
        <w:rPr>
          <w:rFonts w:ascii="Traditional Arabic" w:hAnsi="Traditional Arabic" w:cs="Traditional Arabic"/>
          <w:color w:val="000000"/>
          <w:sz w:val="32"/>
          <w:szCs w:val="32"/>
          <w:rtl/>
        </w:rPr>
        <w:t>ترجمها عن الفرنسية والألمانية والانجليزية: عبد الرحمن بدوي،</w:t>
      </w:r>
      <w:r w:rsidR="009C6B0B">
        <w:rPr>
          <w:rFonts w:ascii="Traditional Arabic" w:hAnsi="Traditional Arabic" w:cs="Traditional Arabic"/>
          <w:color w:val="000000"/>
          <w:sz w:val="32"/>
          <w:szCs w:val="32"/>
        </w:rPr>
        <w:t xml:space="preserve"> </w:t>
      </w:r>
      <w:r w:rsidRPr="009C6B0B">
        <w:rPr>
          <w:rFonts w:ascii="Traditional Arabic" w:hAnsi="Traditional Arabic" w:cs="Traditional Arabic"/>
          <w:color w:val="000000"/>
          <w:sz w:val="32"/>
          <w:szCs w:val="32"/>
          <w:rtl/>
        </w:rPr>
        <w:t xml:space="preserve">ط 8دار العلم للملايين، بيروت، لبنان، </w:t>
      </w:r>
      <w:r w:rsidRPr="009C6B0B">
        <w:rPr>
          <w:rFonts w:ascii="Traditional Arabic" w:hAnsi="Traditional Arabic" w:cs="Traditional Arabic" w:hint="cs"/>
          <w:color w:val="000000"/>
          <w:sz w:val="32"/>
          <w:szCs w:val="32"/>
          <w:rtl/>
        </w:rPr>
        <w:t>1979م.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340D8D"/>
    <w:rsid w:val="002D3779"/>
    <w:rsid w:val="002E6F00"/>
    <w:rsid w:val="002F168F"/>
    <w:rsid w:val="00340D8D"/>
    <w:rsid w:val="005461EA"/>
    <w:rsid w:val="00900EB0"/>
    <w:rsid w:val="009507A8"/>
    <w:rsid w:val="009C6B0B"/>
    <w:rsid w:val="00C8544F"/>
    <w:rsid w:val="00D71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340D8D"/>
    <w:rPr>
      <w:rFonts w:ascii="Traditional Arabic" w:hAnsi="Traditional Arabic" w:cs="Traditional Arabic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Policepardfaut"/>
    <w:rsid w:val="00340D8D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461EA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461E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461EA"/>
    <w:rPr>
      <w:vertAlign w:val="superscript"/>
    </w:rPr>
  </w:style>
  <w:style w:type="paragraph" w:styleId="En-tte">
    <w:name w:val="header"/>
    <w:basedOn w:val="Normal"/>
    <w:link w:val="En-tteCar"/>
    <w:uiPriority w:val="99"/>
    <w:semiHidden/>
    <w:unhideWhenUsed/>
    <w:rsid w:val="00D713C9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D713C9"/>
  </w:style>
  <w:style w:type="paragraph" w:styleId="Pieddepage">
    <w:name w:val="footer"/>
    <w:basedOn w:val="Normal"/>
    <w:link w:val="PieddepageCar"/>
    <w:uiPriority w:val="99"/>
    <w:semiHidden/>
    <w:unhideWhenUsed/>
    <w:rsid w:val="00D713C9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713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AD882-5935-4EA0-A324-2C4826922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3</cp:revision>
  <dcterms:created xsi:type="dcterms:W3CDTF">2026-01-30T20:41:00Z</dcterms:created>
  <dcterms:modified xsi:type="dcterms:W3CDTF">2026-01-31T01:24:00Z</dcterms:modified>
</cp:coreProperties>
</file>