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197" w:rsidRPr="009A37A0" w:rsidRDefault="00B25825" w:rsidP="009A37A0">
      <w:pPr>
        <w:bidi/>
        <w:rPr>
          <w:rFonts w:ascii="Traditional Arabic" w:hAnsi="Traditional Arabic" w:cs="Traditional Arabic"/>
          <w:color w:val="000000" w:themeColor="text1"/>
          <w:sz w:val="36"/>
          <w:szCs w:val="36"/>
          <w:rtl/>
          <w:lang w:bidi="ar-DZ"/>
        </w:rPr>
      </w:pPr>
      <w:r w:rsidRPr="00E00CF2">
        <w:rPr>
          <w:rFonts w:ascii="Traditional Arabic" w:hAnsi="Traditional Arabic" w:cs="Traditional Arabic" w:hint="cs"/>
          <w:color w:val="000000" w:themeColor="text1"/>
          <w:sz w:val="36"/>
          <w:szCs w:val="36"/>
          <w:rtl/>
          <w:lang w:bidi="ar-DZ"/>
        </w:rPr>
        <w:t xml:space="preserve"> </w:t>
      </w:r>
      <w:r w:rsidR="00AC5197" w:rsidRPr="00AC5197">
        <w:rPr>
          <w:rFonts w:ascii="Traditional Arabic" w:hAnsi="Traditional Arabic" w:cs="Traditional Arabic" w:hint="cs"/>
          <w:b/>
          <w:bCs/>
          <w:color w:val="E36C0A" w:themeColor="accent6" w:themeShade="BF"/>
          <w:sz w:val="36"/>
          <w:szCs w:val="36"/>
          <w:rtl/>
          <w:lang w:bidi="ar-DZ"/>
        </w:rPr>
        <w:t xml:space="preserve">المحاضرة الأولى: </w:t>
      </w:r>
    </w:p>
    <w:p w:rsidR="00AC5197" w:rsidRDefault="00AC5197" w:rsidP="003D3F36">
      <w:pPr>
        <w:bidi/>
        <w:rPr>
          <w:rFonts w:ascii="Traditional Arabic" w:hAnsi="Traditional Arabic" w:cs="Traditional Arabic"/>
          <w:b/>
          <w:bCs/>
          <w:color w:val="000000" w:themeColor="text1"/>
          <w:sz w:val="36"/>
          <w:szCs w:val="36"/>
          <w:rtl/>
          <w:lang w:bidi="ar-DZ"/>
        </w:rPr>
      </w:pPr>
      <w:r w:rsidRPr="00AC5197">
        <w:rPr>
          <w:rFonts w:ascii="Traditional Arabic" w:hAnsi="Traditional Arabic" w:cs="Traditional Arabic" w:hint="cs"/>
          <w:b/>
          <w:bCs/>
          <w:color w:val="000000" w:themeColor="text1"/>
          <w:sz w:val="36"/>
          <w:szCs w:val="36"/>
          <w:rtl/>
          <w:lang w:bidi="ar-DZ"/>
        </w:rPr>
        <w:t>الاستشراق: المفهوم، النشأة، والتطور والدوافع</w:t>
      </w:r>
    </w:p>
    <w:p w:rsidR="00AC5197" w:rsidRPr="00AC5197" w:rsidRDefault="00AC5197" w:rsidP="003D3F36">
      <w:pPr>
        <w:bidi/>
        <w:rPr>
          <w:rFonts w:ascii="Traditional Arabic" w:hAnsi="Traditional Arabic" w:cs="Traditional Arabic"/>
          <w:b/>
          <w:bCs/>
          <w:color w:val="4F6228" w:themeColor="accent3" w:themeShade="80"/>
          <w:sz w:val="36"/>
          <w:szCs w:val="36"/>
          <w:rtl/>
          <w:lang w:bidi="ar-DZ"/>
        </w:rPr>
      </w:pPr>
      <w:r w:rsidRPr="00AC5197">
        <w:rPr>
          <w:rFonts w:ascii="Traditional Arabic" w:hAnsi="Traditional Arabic" w:cs="Traditional Arabic" w:hint="cs"/>
          <w:b/>
          <w:bCs/>
          <w:color w:val="4F6228" w:themeColor="accent3" w:themeShade="80"/>
          <w:sz w:val="36"/>
          <w:szCs w:val="36"/>
          <w:rtl/>
          <w:lang w:bidi="ar-DZ"/>
        </w:rPr>
        <w:t xml:space="preserve">1- </w:t>
      </w:r>
      <w:r w:rsidR="000134EE">
        <w:rPr>
          <w:rFonts w:ascii="Traditional Arabic" w:hAnsi="Traditional Arabic" w:cs="Traditional Arabic" w:hint="cs"/>
          <w:b/>
          <w:bCs/>
          <w:color w:val="4F6228" w:themeColor="accent3" w:themeShade="80"/>
          <w:sz w:val="36"/>
          <w:szCs w:val="36"/>
          <w:rtl/>
          <w:lang w:bidi="ar-DZ"/>
        </w:rPr>
        <w:t>مفهوم</w:t>
      </w:r>
      <w:r w:rsidRPr="00AC5197">
        <w:rPr>
          <w:rFonts w:ascii="Traditional Arabic" w:hAnsi="Traditional Arabic" w:cs="Traditional Arabic" w:hint="cs"/>
          <w:b/>
          <w:bCs/>
          <w:color w:val="4F6228" w:themeColor="accent3" w:themeShade="80"/>
          <w:sz w:val="36"/>
          <w:szCs w:val="36"/>
          <w:rtl/>
          <w:lang w:bidi="ar-DZ"/>
        </w:rPr>
        <w:t xml:space="preserve"> الاستشراق</w:t>
      </w:r>
      <w:r w:rsidR="00E00CF2">
        <w:rPr>
          <w:rFonts w:ascii="Traditional Arabic" w:hAnsi="Traditional Arabic" w:cs="Traditional Arabic" w:hint="cs"/>
          <w:b/>
          <w:bCs/>
          <w:color w:val="4F6228" w:themeColor="accent3" w:themeShade="80"/>
          <w:sz w:val="36"/>
          <w:szCs w:val="36"/>
          <w:rtl/>
          <w:lang w:bidi="ar-DZ"/>
        </w:rPr>
        <w:t>:</w:t>
      </w:r>
      <w:r w:rsidRPr="00AC5197">
        <w:rPr>
          <w:rFonts w:ascii="Traditional Arabic" w:hAnsi="Traditional Arabic" w:cs="Traditional Arabic" w:hint="cs"/>
          <w:b/>
          <w:bCs/>
          <w:color w:val="4F6228" w:themeColor="accent3" w:themeShade="80"/>
          <w:sz w:val="36"/>
          <w:szCs w:val="36"/>
          <w:rtl/>
          <w:lang w:bidi="ar-DZ"/>
        </w:rPr>
        <w:t xml:space="preserve"> </w:t>
      </w:r>
    </w:p>
    <w:p w:rsidR="00AC5197" w:rsidRPr="00A12222" w:rsidRDefault="00AC5197" w:rsidP="003D3F36">
      <w:pPr>
        <w:pStyle w:val="Paragraphedeliste"/>
        <w:numPr>
          <w:ilvl w:val="1"/>
          <w:numId w:val="4"/>
        </w:numPr>
        <w:bidi/>
        <w:rPr>
          <w:rFonts w:ascii="Traditional Arabic" w:hAnsi="Traditional Arabic" w:cs="Traditional Arabic"/>
          <w:b/>
          <w:bCs/>
          <w:color w:val="4F6228" w:themeColor="accent3" w:themeShade="80"/>
          <w:sz w:val="36"/>
          <w:szCs w:val="36"/>
          <w:rtl/>
          <w:lang w:bidi="ar-DZ"/>
        </w:rPr>
      </w:pPr>
      <w:r w:rsidRPr="00A12222">
        <w:rPr>
          <w:rFonts w:ascii="Traditional Arabic" w:hAnsi="Traditional Arabic" w:cs="Traditional Arabic" w:hint="cs"/>
          <w:b/>
          <w:bCs/>
          <w:color w:val="4F6228" w:themeColor="accent3" w:themeShade="80"/>
          <w:sz w:val="36"/>
          <w:szCs w:val="36"/>
          <w:rtl/>
          <w:lang w:bidi="ar-DZ"/>
        </w:rPr>
        <w:t>لغة:</w:t>
      </w:r>
    </w:p>
    <w:p w:rsidR="00E00CF2" w:rsidRDefault="00A12222" w:rsidP="003D3F36">
      <w:pPr>
        <w:bidi/>
        <w:rPr>
          <w:rFonts w:ascii="Traditional Arabic" w:hAnsi="Traditional Arabic" w:cs="Traditional Arabic"/>
          <w:color w:val="000000" w:themeColor="text1"/>
          <w:sz w:val="36"/>
          <w:szCs w:val="36"/>
          <w:rtl/>
          <w:lang w:bidi="ar-DZ"/>
        </w:rPr>
      </w:pPr>
      <w:r>
        <w:rPr>
          <w:rFonts w:ascii="Traditional Arabic" w:hAnsi="Traditional Arabic" w:cs="Traditional Arabic" w:hint="cs"/>
          <w:b/>
          <w:bCs/>
          <w:color w:val="000000" w:themeColor="text1"/>
          <w:sz w:val="36"/>
          <w:szCs w:val="36"/>
          <w:rtl/>
          <w:lang w:bidi="ar-DZ"/>
        </w:rPr>
        <w:t xml:space="preserve">  </w:t>
      </w:r>
      <w:r w:rsidRPr="00A12222">
        <w:rPr>
          <w:rFonts w:ascii="Traditional Arabic" w:hAnsi="Traditional Arabic" w:cs="Traditional Arabic" w:hint="cs"/>
          <w:color w:val="000000" w:themeColor="text1"/>
          <w:sz w:val="36"/>
          <w:szCs w:val="36"/>
          <w:rtl/>
          <w:lang w:bidi="ar-DZ"/>
        </w:rPr>
        <w:t>كلمة الاستشراق مأخوذة من كلمة</w:t>
      </w:r>
      <w:r>
        <w:rPr>
          <w:rFonts w:ascii="Traditional Arabic" w:hAnsi="Traditional Arabic" w:cs="Traditional Arabic" w:hint="cs"/>
          <w:b/>
          <w:bCs/>
          <w:color w:val="000000" w:themeColor="text1"/>
          <w:sz w:val="36"/>
          <w:szCs w:val="36"/>
          <w:rtl/>
          <w:lang w:bidi="ar-DZ"/>
        </w:rPr>
        <w:t xml:space="preserve"> "شرق" </w:t>
      </w:r>
      <w:r w:rsidRPr="00A12222">
        <w:rPr>
          <w:rFonts w:ascii="Traditional Arabic" w:hAnsi="Traditional Arabic" w:cs="Traditional Arabic" w:hint="cs"/>
          <w:color w:val="000000" w:themeColor="text1"/>
          <w:sz w:val="36"/>
          <w:szCs w:val="36"/>
          <w:rtl/>
          <w:lang w:bidi="ar-DZ"/>
        </w:rPr>
        <w:t>يقال: "شرقت الش</w:t>
      </w:r>
      <w:r>
        <w:rPr>
          <w:rFonts w:ascii="Traditional Arabic" w:hAnsi="Traditional Arabic" w:cs="Traditional Arabic" w:hint="cs"/>
          <w:color w:val="000000" w:themeColor="text1"/>
          <w:sz w:val="36"/>
          <w:szCs w:val="36"/>
          <w:rtl/>
          <w:lang w:bidi="ar-DZ"/>
        </w:rPr>
        <w:t>ّ</w:t>
      </w:r>
      <w:r w:rsidRPr="00A12222">
        <w:rPr>
          <w:rFonts w:ascii="Traditional Arabic" w:hAnsi="Traditional Arabic" w:cs="Traditional Arabic" w:hint="cs"/>
          <w:color w:val="000000" w:themeColor="text1"/>
          <w:sz w:val="36"/>
          <w:szCs w:val="36"/>
          <w:rtl/>
          <w:lang w:bidi="ar-DZ"/>
        </w:rPr>
        <w:t>مس</w:t>
      </w:r>
      <w:r>
        <w:rPr>
          <w:rFonts w:ascii="Traditional Arabic" w:hAnsi="Traditional Arabic" w:cs="Traditional Arabic" w:hint="cs"/>
          <w:b/>
          <w:bCs/>
          <w:color w:val="000000" w:themeColor="text1"/>
          <w:sz w:val="36"/>
          <w:szCs w:val="36"/>
          <w:rtl/>
          <w:lang w:bidi="ar-DZ"/>
        </w:rPr>
        <w:t xml:space="preserve">، </w:t>
      </w:r>
      <w:r w:rsidRPr="00A12222">
        <w:rPr>
          <w:rFonts w:ascii="Traditional Arabic" w:hAnsi="Traditional Arabic" w:cs="Traditional Arabic" w:hint="cs"/>
          <w:color w:val="000000" w:themeColor="text1"/>
          <w:sz w:val="36"/>
          <w:szCs w:val="36"/>
          <w:rtl/>
          <w:lang w:bidi="ar-DZ"/>
        </w:rPr>
        <w:t>تشرق شروقا،</w:t>
      </w:r>
      <w:r>
        <w:rPr>
          <w:rFonts w:ascii="Traditional Arabic" w:hAnsi="Traditional Arabic" w:cs="Traditional Arabic" w:hint="cs"/>
          <w:b/>
          <w:bCs/>
          <w:color w:val="000000" w:themeColor="text1"/>
          <w:sz w:val="36"/>
          <w:szCs w:val="36"/>
          <w:rtl/>
          <w:lang w:bidi="ar-DZ"/>
        </w:rPr>
        <w:t xml:space="preserve"> </w:t>
      </w:r>
      <w:r w:rsidRPr="00A12222">
        <w:rPr>
          <w:rFonts w:ascii="Traditional Arabic" w:hAnsi="Traditional Arabic" w:cs="Traditional Arabic" w:hint="cs"/>
          <w:color w:val="000000" w:themeColor="text1"/>
          <w:sz w:val="36"/>
          <w:szCs w:val="36"/>
          <w:rtl/>
          <w:lang w:bidi="ar-DZ"/>
        </w:rPr>
        <w:t>إذا طلعت</w:t>
      </w:r>
      <w:r>
        <w:rPr>
          <w:rFonts w:ascii="Traditional Arabic" w:hAnsi="Traditional Arabic" w:cs="Traditional Arabic" w:hint="cs"/>
          <w:color w:val="000000" w:themeColor="text1"/>
          <w:sz w:val="36"/>
          <w:szCs w:val="36"/>
          <w:rtl/>
          <w:lang w:bidi="ar-DZ"/>
        </w:rPr>
        <w:t>"</w:t>
      </w:r>
      <w:r>
        <w:rPr>
          <w:rStyle w:val="Appelnotedebasdep"/>
          <w:rFonts w:ascii="Traditional Arabic" w:hAnsi="Traditional Arabic" w:cs="Traditional Arabic"/>
          <w:color w:val="000000" w:themeColor="text1"/>
          <w:sz w:val="36"/>
          <w:szCs w:val="36"/>
          <w:rtl/>
          <w:lang w:bidi="ar-DZ"/>
        </w:rPr>
        <w:footnoteReference w:id="2"/>
      </w:r>
      <w:r>
        <w:rPr>
          <w:rFonts w:ascii="Traditional Arabic" w:hAnsi="Traditional Arabic" w:cs="Traditional Arabic" w:hint="cs"/>
          <w:color w:val="000000" w:themeColor="text1"/>
          <w:sz w:val="36"/>
          <w:szCs w:val="36"/>
          <w:rtl/>
          <w:lang w:bidi="ar-DZ"/>
        </w:rPr>
        <w:t>، و"أشرقت الشمس: طلعت وأضاءت"</w:t>
      </w:r>
      <w:r>
        <w:rPr>
          <w:rStyle w:val="Appelnotedebasdep"/>
          <w:rFonts w:ascii="Traditional Arabic" w:hAnsi="Traditional Arabic" w:cs="Traditional Arabic"/>
          <w:color w:val="000000" w:themeColor="text1"/>
          <w:sz w:val="36"/>
          <w:szCs w:val="36"/>
          <w:rtl/>
          <w:lang w:bidi="ar-DZ"/>
        </w:rPr>
        <w:footnoteReference w:id="3"/>
      </w:r>
      <w:r>
        <w:rPr>
          <w:rFonts w:ascii="Traditional Arabic" w:hAnsi="Traditional Arabic" w:cs="Traditional Arabic" w:hint="cs"/>
          <w:color w:val="000000" w:themeColor="text1"/>
          <w:sz w:val="36"/>
          <w:szCs w:val="36"/>
          <w:rtl/>
          <w:lang w:bidi="ar-DZ"/>
        </w:rPr>
        <w:t>، وبإضافة الحروف الأولى (الألف، التاء، السين) تصبح استشراق وهذا ما يدل على اطلاع الحضارة الغربية على الحضارة العربية بكل ما تحويه من مكنونات داخلية وخارجية، مادية ومعنوية. فالاستشراق مشتق من كلمة وهي جهة شروق الشمس، والشرق</w:t>
      </w:r>
      <w:r w:rsidR="00E00CF2">
        <w:rPr>
          <w:rFonts w:ascii="Traditional Arabic" w:hAnsi="Traditional Arabic" w:cs="Traditional Arabic" w:hint="cs"/>
          <w:color w:val="000000" w:themeColor="text1"/>
          <w:sz w:val="36"/>
          <w:szCs w:val="36"/>
          <w:rtl/>
          <w:lang w:bidi="ar-DZ"/>
        </w:rPr>
        <w:t xml:space="preserve"> أخذ من ناحية الشرق، والسين في كلمة الاستشراق يفيد الطلب أي طلب دراسة في الشرق</w:t>
      </w:r>
      <w:r w:rsidR="00E00CF2">
        <w:rPr>
          <w:rStyle w:val="Appelnotedebasdep"/>
          <w:rFonts w:ascii="Traditional Arabic" w:hAnsi="Traditional Arabic" w:cs="Traditional Arabic"/>
          <w:color w:val="000000" w:themeColor="text1"/>
          <w:sz w:val="36"/>
          <w:szCs w:val="36"/>
          <w:rtl/>
          <w:lang w:bidi="ar-DZ"/>
        </w:rPr>
        <w:footnoteReference w:id="4"/>
      </w:r>
      <w:r w:rsidR="00E00CF2">
        <w:rPr>
          <w:rFonts w:ascii="Traditional Arabic" w:hAnsi="Traditional Arabic" w:cs="Traditional Arabic" w:hint="cs"/>
          <w:color w:val="000000" w:themeColor="text1"/>
          <w:sz w:val="36"/>
          <w:szCs w:val="36"/>
          <w:rtl/>
          <w:lang w:bidi="ar-DZ"/>
        </w:rPr>
        <w:t>.</w:t>
      </w:r>
    </w:p>
    <w:p w:rsidR="00E00CF2" w:rsidRDefault="00E00CF2" w:rsidP="003D3F36">
      <w:pPr>
        <w:bidi/>
        <w:rPr>
          <w:rFonts w:ascii="Traditional Arabic" w:hAnsi="Traditional Arabic" w:cs="Traditional Arabic"/>
          <w:b/>
          <w:bCs/>
          <w:color w:val="4F6228" w:themeColor="accent3" w:themeShade="80"/>
          <w:sz w:val="36"/>
          <w:szCs w:val="36"/>
          <w:rtl/>
          <w:lang w:bidi="ar-DZ"/>
        </w:rPr>
      </w:pPr>
      <w:r w:rsidRPr="00E00CF2">
        <w:rPr>
          <w:rFonts w:ascii="Traditional Arabic" w:hAnsi="Traditional Arabic" w:cs="Traditional Arabic" w:hint="cs"/>
          <w:b/>
          <w:bCs/>
          <w:color w:val="4F6228" w:themeColor="accent3" w:themeShade="80"/>
          <w:sz w:val="36"/>
          <w:szCs w:val="36"/>
          <w:rtl/>
          <w:lang w:bidi="ar-DZ"/>
        </w:rPr>
        <w:t>1-2 اصطلاحا:</w:t>
      </w:r>
    </w:p>
    <w:p w:rsidR="00115B13" w:rsidRDefault="00E00CF2" w:rsidP="003D3F36">
      <w:pPr>
        <w:bidi/>
        <w:rPr>
          <w:rFonts w:ascii="Traditional Arabic" w:hAnsi="Traditional Arabic" w:cs="Traditional Arabic"/>
          <w:color w:val="000000" w:themeColor="text1"/>
          <w:sz w:val="36"/>
          <w:szCs w:val="36"/>
          <w:rtl/>
          <w:lang w:bidi="ar-DZ"/>
        </w:rPr>
      </w:pPr>
      <w:r>
        <w:rPr>
          <w:rFonts w:ascii="Traditional Arabic" w:hAnsi="Traditional Arabic" w:cs="Traditional Arabic" w:hint="cs"/>
          <w:b/>
          <w:bCs/>
          <w:color w:val="4F6228" w:themeColor="accent3" w:themeShade="80"/>
          <w:sz w:val="36"/>
          <w:szCs w:val="36"/>
          <w:rtl/>
          <w:lang w:bidi="ar-DZ"/>
        </w:rPr>
        <w:t xml:space="preserve">  </w:t>
      </w:r>
      <w:r w:rsidRPr="00E00CF2">
        <w:rPr>
          <w:rFonts w:ascii="Traditional Arabic" w:hAnsi="Traditional Arabic" w:cs="Traditional Arabic" w:hint="cs"/>
          <w:color w:val="000000" w:themeColor="text1"/>
          <w:sz w:val="36"/>
          <w:szCs w:val="36"/>
          <w:rtl/>
          <w:lang w:bidi="ar-DZ"/>
        </w:rPr>
        <w:t>نجد</w:t>
      </w:r>
      <w:r>
        <w:rPr>
          <w:rFonts w:ascii="Traditional Arabic" w:hAnsi="Traditional Arabic" w:cs="Traditional Arabic" w:hint="cs"/>
          <w:color w:val="000000" w:themeColor="text1"/>
          <w:sz w:val="36"/>
          <w:szCs w:val="36"/>
          <w:rtl/>
          <w:lang w:bidi="ar-DZ"/>
        </w:rPr>
        <w:t xml:space="preserve"> المستشرق </w:t>
      </w:r>
      <w:r w:rsidRPr="00E00CF2">
        <w:rPr>
          <w:rFonts w:ascii="Traditional Arabic" w:hAnsi="Traditional Arabic" w:cs="Traditional Arabic" w:hint="cs"/>
          <w:b/>
          <w:bCs/>
          <w:color w:val="000000" w:themeColor="text1"/>
          <w:sz w:val="36"/>
          <w:szCs w:val="36"/>
          <w:rtl/>
          <w:lang w:bidi="ar-DZ"/>
        </w:rPr>
        <w:t>رودي البارودي</w:t>
      </w:r>
      <w:r>
        <w:rPr>
          <w:rFonts w:ascii="Traditional Arabic" w:hAnsi="Traditional Arabic" w:cs="Traditional Arabic" w:hint="cs"/>
          <w:b/>
          <w:bCs/>
          <w:color w:val="000000" w:themeColor="text1"/>
          <w:sz w:val="36"/>
          <w:szCs w:val="36"/>
          <w:rtl/>
          <w:lang w:bidi="ar-DZ"/>
        </w:rPr>
        <w:t xml:space="preserve"> </w:t>
      </w:r>
      <w:r>
        <w:rPr>
          <w:rFonts w:ascii="Traditional Arabic" w:hAnsi="Traditional Arabic" w:cs="Traditional Arabic" w:hint="cs"/>
          <w:color w:val="000000" w:themeColor="text1"/>
          <w:sz w:val="36"/>
          <w:szCs w:val="36"/>
          <w:rtl/>
          <w:lang w:bidi="ar-DZ"/>
        </w:rPr>
        <w:t>قا</w:t>
      </w:r>
      <w:r w:rsidRPr="00E00CF2">
        <w:rPr>
          <w:rFonts w:ascii="Traditional Arabic" w:hAnsi="Traditional Arabic" w:cs="Traditional Arabic" w:hint="cs"/>
          <w:color w:val="000000" w:themeColor="text1"/>
          <w:sz w:val="36"/>
          <w:szCs w:val="36"/>
          <w:rtl/>
          <w:lang w:bidi="ar-DZ"/>
        </w:rPr>
        <w:t>ل</w:t>
      </w:r>
      <w:r>
        <w:rPr>
          <w:rFonts w:ascii="Traditional Arabic" w:hAnsi="Traditional Arabic" w:cs="Traditional Arabic" w:hint="cs"/>
          <w:color w:val="000000" w:themeColor="text1"/>
          <w:sz w:val="36"/>
          <w:szCs w:val="36"/>
          <w:rtl/>
          <w:lang w:bidi="ar-DZ"/>
        </w:rPr>
        <w:t xml:space="preserve"> أنّ</w:t>
      </w:r>
      <w:r w:rsidRPr="00E00CF2">
        <w:rPr>
          <w:rFonts w:ascii="Traditional Arabic" w:hAnsi="Traditional Arabic" w:cs="Traditional Arabic" w:hint="cs"/>
          <w:color w:val="000000" w:themeColor="text1"/>
          <w:sz w:val="36"/>
          <w:szCs w:val="36"/>
          <w:rtl/>
          <w:lang w:bidi="ar-DZ"/>
        </w:rPr>
        <w:t>:</w:t>
      </w:r>
      <w:r>
        <w:rPr>
          <w:rFonts w:ascii="Traditional Arabic" w:hAnsi="Traditional Arabic" w:cs="Traditional Arabic" w:hint="cs"/>
          <w:color w:val="000000" w:themeColor="text1"/>
          <w:sz w:val="36"/>
          <w:szCs w:val="36"/>
          <w:rtl/>
          <w:lang w:bidi="ar-DZ"/>
        </w:rPr>
        <w:t xml:space="preserve"> "الاستشراق علم يختص بفقه اللغة خاصة وأقرب شئ إليه إذن أن نفكر في الاسم الذي أطلق عليه، كلمة استشراق مشتقة من كلمة "شرق" وكلمة شرق تعنى مشرق الشمس، وعلى هذا يكون الاستشراق هو علم الشرق أو علم العالم الشرقي</w:t>
      </w:r>
      <w:r w:rsidR="00115B13">
        <w:rPr>
          <w:rFonts w:ascii="Traditional Arabic" w:hAnsi="Traditional Arabic" w:cs="Traditional Arabic" w:hint="cs"/>
          <w:color w:val="000000" w:themeColor="text1"/>
          <w:sz w:val="36"/>
          <w:szCs w:val="36"/>
          <w:rtl/>
          <w:lang w:bidi="ar-DZ"/>
        </w:rPr>
        <w:t>"</w:t>
      </w:r>
      <w:r>
        <w:rPr>
          <w:rFonts w:ascii="Traditional Arabic" w:hAnsi="Traditional Arabic" w:cs="Traditional Arabic" w:hint="cs"/>
          <w:color w:val="000000" w:themeColor="text1"/>
          <w:sz w:val="36"/>
          <w:szCs w:val="36"/>
          <w:rtl/>
          <w:lang w:bidi="ar-DZ"/>
        </w:rPr>
        <w:t xml:space="preserve">. </w:t>
      </w:r>
    </w:p>
    <w:p w:rsidR="00115B13" w:rsidRDefault="00115B13" w:rsidP="003D3F36">
      <w:pPr>
        <w:bidi/>
        <w:rPr>
          <w:rFonts w:ascii="Traditional Arabic" w:hAnsi="Traditional Arabic" w:cs="Traditional Arabic"/>
          <w:color w:val="000000" w:themeColor="text1"/>
          <w:sz w:val="36"/>
          <w:szCs w:val="36"/>
          <w:rtl/>
          <w:lang w:bidi="ar-DZ"/>
        </w:rPr>
      </w:pPr>
      <w:r>
        <w:rPr>
          <w:rFonts w:ascii="Traditional Arabic" w:hAnsi="Traditional Arabic" w:cs="Traditional Arabic" w:hint="cs"/>
          <w:color w:val="000000" w:themeColor="text1"/>
          <w:sz w:val="36"/>
          <w:szCs w:val="36"/>
          <w:rtl/>
          <w:lang w:bidi="ar-DZ"/>
        </w:rPr>
        <w:t xml:space="preserve">  ويعتمد المستشرق الإنجليزي </w:t>
      </w:r>
      <w:r w:rsidRPr="00115B13">
        <w:rPr>
          <w:rFonts w:ascii="Traditional Arabic" w:hAnsi="Traditional Arabic" w:cs="Traditional Arabic" w:hint="cs"/>
          <w:b/>
          <w:bCs/>
          <w:color w:val="000000" w:themeColor="text1"/>
          <w:sz w:val="36"/>
          <w:szCs w:val="36"/>
          <w:rtl/>
          <w:lang w:bidi="ar-DZ"/>
        </w:rPr>
        <w:t>"آربري"</w:t>
      </w:r>
      <w:r>
        <w:rPr>
          <w:rFonts w:ascii="Traditional Arabic" w:hAnsi="Traditional Arabic" w:cs="Traditional Arabic" w:hint="cs"/>
          <w:b/>
          <w:bCs/>
          <w:color w:val="000000" w:themeColor="text1"/>
          <w:sz w:val="36"/>
          <w:szCs w:val="36"/>
          <w:rtl/>
          <w:lang w:bidi="ar-DZ"/>
        </w:rPr>
        <w:t xml:space="preserve"> </w:t>
      </w:r>
      <w:r>
        <w:rPr>
          <w:rFonts w:ascii="Traditional Arabic" w:hAnsi="Traditional Arabic" w:cs="Traditional Arabic" w:hint="cs"/>
          <w:color w:val="000000" w:themeColor="text1"/>
          <w:sz w:val="36"/>
          <w:szCs w:val="36"/>
          <w:rtl/>
          <w:lang w:bidi="ar-DZ"/>
        </w:rPr>
        <w:t xml:space="preserve">تعريف قاموس "أكسفورد" الذي يعرف المستشرق بأنه "من تبحر في لغات الشرق وآدابه"، والمستشرق الفرنسي </w:t>
      </w:r>
      <w:r w:rsidRPr="00115B13">
        <w:rPr>
          <w:rFonts w:ascii="Traditional Arabic" w:hAnsi="Traditional Arabic" w:cs="Traditional Arabic" w:hint="cs"/>
          <w:b/>
          <w:bCs/>
          <w:color w:val="000000" w:themeColor="text1"/>
          <w:sz w:val="36"/>
          <w:szCs w:val="36"/>
          <w:rtl/>
          <w:lang w:bidi="ar-DZ"/>
        </w:rPr>
        <w:t>"مكسيم رودنسون"</w:t>
      </w:r>
      <w:r>
        <w:rPr>
          <w:rFonts w:ascii="Traditional Arabic" w:hAnsi="Traditional Arabic" w:cs="Traditional Arabic" w:hint="cs"/>
          <w:color w:val="000000" w:themeColor="text1"/>
          <w:sz w:val="36"/>
          <w:szCs w:val="36"/>
          <w:rtl/>
          <w:lang w:bidi="ar-DZ"/>
        </w:rPr>
        <w:t xml:space="preserve"> الذي أشار إلى أنّ الاستشراق إنّما ظهر للحاجة إلى إيجاد فرع متخصص من فروع المعرفة لدراسة الشرق "ويضيف بأنّ الحاجة كانت ماسة لوجود متخصصين للقيام على إنشاء المجلات والجمعيات والأقسام العلمية".</w:t>
      </w:r>
    </w:p>
    <w:p w:rsidR="00115B13" w:rsidRDefault="00115B13" w:rsidP="003D3F36">
      <w:pPr>
        <w:bidi/>
        <w:rPr>
          <w:rFonts w:ascii="Traditional Arabic" w:hAnsi="Traditional Arabic" w:cs="Traditional Arabic"/>
          <w:color w:val="000000" w:themeColor="text1"/>
          <w:sz w:val="36"/>
          <w:szCs w:val="36"/>
          <w:rtl/>
          <w:lang w:bidi="ar-DZ"/>
        </w:rPr>
      </w:pPr>
      <w:r>
        <w:rPr>
          <w:rFonts w:ascii="Traditional Arabic" w:hAnsi="Traditional Arabic" w:cs="Traditional Arabic" w:hint="cs"/>
          <w:color w:val="000000" w:themeColor="text1"/>
          <w:sz w:val="36"/>
          <w:szCs w:val="36"/>
          <w:rtl/>
          <w:lang w:bidi="ar-DZ"/>
        </w:rPr>
        <w:t xml:space="preserve">  ولو انتقلنا إلى العرب والمسلمين الذين تناولوا هذا المصطلح نجد أنّ </w:t>
      </w:r>
      <w:r w:rsidRPr="00115B13">
        <w:rPr>
          <w:rFonts w:ascii="Traditional Arabic" w:hAnsi="Traditional Arabic" w:cs="Traditional Arabic" w:hint="cs"/>
          <w:b/>
          <w:bCs/>
          <w:color w:val="000000" w:themeColor="text1"/>
          <w:sz w:val="36"/>
          <w:szCs w:val="36"/>
          <w:rtl/>
          <w:lang w:bidi="ar-DZ"/>
        </w:rPr>
        <w:t>"إدوارد سعيد"</w:t>
      </w:r>
      <w:r>
        <w:rPr>
          <w:rFonts w:ascii="Traditional Arabic" w:hAnsi="Traditional Arabic" w:cs="Traditional Arabic" w:hint="cs"/>
          <w:color w:val="000000" w:themeColor="text1"/>
          <w:sz w:val="36"/>
          <w:szCs w:val="36"/>
          <w:rtl/>
          <w:lang w:bidi="ar-DZ"/>
        </w:rPr>
        <w:t xml:space="preserve"> وضع عدة تعريفات للاستشراق منها أنّه: "أسلوب في التفكير مبنى على تميُّز متعلق بوجودالمعرفة بين الشرق وبين </w:t>
      </w:r>
      <w:r>
        <w:rPr>
          <w:rFonts w:ascii="Traditional Arabic" w:hAnsi="Traditional Arabic" w:cs="Traditional Arabic" w:hint="cs"/>
          <w:color w:val="000000" w:themeColor="text1"/>
          <w:sz w:val="36"/>
          <w:szCs w:val="36"/>
          <w:rtl/>
          <w:lang w:bidi="ar-DZ"/>
        </w:rPr>
        <w:lastRenderedPageBreak/>
        <w:t xml:space="preserve">الغرب". ويضيف </w:t>
      </w:r>
      <w:r w:rsidRPr="00115B13">
        <w:rPr>
          <w:rFonts w:ascii="Traditional Arabic" w:hAnsi="Traditional Arabic" w:cs="Traditional Arabic" w:hint="cs"/>
          <w:b/>
          <w:bCs/>
          <w:color w:val="000000" w:themeColor="text1"/>
          <w:sz w:val="36"/>
          <w:szCs w:val="36"/>
          <w:rtl/>
          <w:lang w:bidi="ar-DZ"/>
        </w:rPr>
        <w:t>"سعيد"</w:t>
      </w:r>
      <w:r>
        <w:rPr>
          <w:rFonts w:ascii="Traditional Arabic" w:hAnsi="Traditional Arabic" w:cs="Traditional Arabic" w:hint="cs"/>
          <w:b/>
          <w:bCs/>
          <w:color w:val="000000" w:themeColor="text1"/>
          <w:sz w:val="36"/>
          <w:szCs w:val="36"/>
          <w:rtl/>
          <w:lang w:bidi="ar-DZ"/>
        </w:rPr>
        <w:t xml:space="preserve"> </w:t>
      </w:r>
      <w:r w:rsidRPr="00115B13">
        <w:rPr>
          <w:rFonts w:ascii="Traditional Arabic" w:hAnsi="Traditional Arabic" w:cs="Traditional Arabic" w:hint="cs"/>
          <w:color w:val="000000" w:themeColor="text1"/>
          <w:sz w:val="36"/>
          <w:szCs w:val="36"/>
          <w:rtl/>
          <w:lang w:bidi="ar-DZ"/>
        </w:rPr>
        <w:t>بأنّ</w:t>
      </w:r>
      <w:r>
        <w:rPr>
          <w:rFonts w:ascii="Traditional Arabic" w:hAnsi="Traditional Arabic" w:cs="Traditional Arabic" w:hint="cs"/>
          <w:color w:val="000000" w:themeColor="text1"/>
          <w:sz w:val="36"/>
          <w:szCs w:val="36"/>
          <w:rtl/>
          <w:lang w:bidi="ar-DZ"/>
        </w:rPr>
        <w:t xml:space="preserve"> الاستشراق مجرد موضوع سياسي أو حقل بحثي ينعكس سلبا باختلاف </w:t>
      </w:r>
      <w:r w:rsidR="00FA2079">
        <w:rPr>
          <w:rFonts w:ascii="Traditional Arabic" w:hAnsi="Traditional Arabic" w:cs="Traditional Arabic" w:hint="cs"/>
          <w:color w:val="000000" w:themeColor="text1"/>
          <w:sz w:val="36"/>
          <w:szCs w:val="36"/>
          <w:rtl/>
          <w:lang w:bidi="ar-DZ"/>
        </w:rPr>
        <w:t xml:space="preserve">الثقافات والدراسات أو المؤسسات وليس تكديسا لمجموعة كبيرة من النّصوص حول الشرق... إنّه بالتالي توزيع للوعي الجغرافي إلى نصوص جمالية وعلمية واقتصادية واجتماعية وفي فقه اللغة"، وفي موضوع آخر يعرف </w:t>
      </w:r>
      <w:r w:rsidR="00FA2079" w:rsidRPr="00FA2079">
        <w:rPr>
          <w:rFonts w:ascii="Traditional Arabic" w:hAnsi="Traditional Arabic" w:cs="Traditional Arabic" w:hint="cs"/>
          <w:b/>
          <w:bCs/>
          <w:color w:val="000000" w:themeColor="text1"/>
          <w:sz w:val="36"/>
          <w:szCs w:val="36"/>
          <w:rtl/>
          <w:lang w:bidi="ar-DZ"/>
        </w:rPr>
        <w:t>سعيد</w:t>
      </w:r>
      <w:r w:rsidRPr="00115B13">
        <w:rPr>
          <w:rFonts w:ascii="Traditional Arabic" w:hAnsi="Traditional Arabic" w:cs="Traditional Arabic" w:hint="cs"/>
          <w:color w:val="000000" w:themeColor="text1"/>
          <w:sz w:val="36"/>
          <w:szCs w:val="36"/>
          <w:rtl/>
          <w:lang w:bidi="ar-DZ"/>
        </w:rPr>
        <w:t xml:space="preserve"> </w:t>
      </w:r>
      <w:r w:rsidR="00FA2079">
        <w:rPr>
          <w:rFonts w:ascii="Traditional Arabic" w:hAnsi="Traditional Arabic" w:cs="Traditional Arabic" w:hint="cs"/>
          <w:color w:val="000000" w:themeColor="text1"/>
          <w:sz w:val="36"/>
          <w:szCs w:val="36"/>
          <w:rtl/>
          <w:lang w:bidi="ar-DZ"/>
        </w:rPr>
        <w:t>الاستشراق بأنه "المجال المعرفي أو العلم الذي يتوصل به إلى الشرق بصورة منظمة كموضوع للتعلم والاكتشاف والتطبيق". وفي موضع آخر يقول بأنّ الاستشراق: "نوع من الأسقاط الغربي على الشرق وإرادة حكم الغرب باشرق".</w:t>
      </w:r>
    </w:p>
    <w:p w:rsidR="00A96BAE" w:rsidRPr="00A96BAE" w:rsidRDefault="00FA2079" w:rsidP="00A96BAE">
      <w:pPr>
        <w:bidi/>
        <w:rPr>
          <w:rFonts w:ascii="Traditional Arabic" w:hAnsi="Traditional Arabic" w:cs="Traditional Arabic"/>
          <w:color w:val="000000" w:themeColor="text1"/>
          <w:sz w:val="36"/>
          <w:szCs w:val="36"/>
          <w:rtl/>
          <w:lang w:bidi="ar-DZ"/>
        </w:rPr>
      </w:pPr>
      <w:r>
        <w:rPr>
          <w:rFonts w:ascii="Traditional Arabic" w:hAnsi="Traditional Arabic" w:cs="Traditional Arabic" w:hint="cs"/>
          <w:color w:val="000000" w:themeColor="text1"/>
          <w:sz w:val="36"/>
          <w:szCs w:val="36"/>
          <w:rtl/>
          <w:lang w:bidi="ar-DZ"/>
        </w:rPr>
        <w:t xml:space="preserve"> أمّا أحمد عبد الحميد غراب فقد أورده في التعريف التالي: "هو دراسات أكاديمية يقوم بها غربيون كافرون </w:t>
      </w:r>
      <w:r>
        <w:rPr>
          <w:rFonts w:ascii="Traditional Arabic" w:hAnsi="Traditional Arabic" w:cs="Traditional Arabic"/>
          <w:color w:val="000000" w:themeColor="text1"/>
          <w:sz w:val="36"/>
          <w:szCs w:val="36"/>
          <w:rtl/>
          <w:lang w:bidi="ar-DZ"/>
        </w:rPr>
        <w:t>–</w:t>
      </w:r>
      <w:r>
        <w:rPr>
          <w:rFonts w:ascii="Traditional Arabic" w:hAnsi="Traditional Arabic" w:cs="Traditional Arabic" w:hint="cs"/>
          <w:color w:val="000000" w:themeColor="text1"/>
          <w:sz w:val="36"/>
          <w:szCs w:val="36"/>
          <w:rtl/>
          <w:lang w:bidi="ar-DZ"/>
        </w:rPr>
        <w:t xml:space="preserve"> من أهل الكتاب بوجه خاص- للإسلام والمسلمين، من شتى الجوانب: عقيدة، وشريعة، وثقافة، وحضارة، وتاريخا، ونظما وثروات وإمكانات... بهدف تشويه الإسلام ومحاولة تشكيك المسلمين فيه، وتضليلهم عنه، وفرض التبعية للغرب عليهم، ومحاولة تبرير هذه التبعية بدراسات ونظريات تدعى العلمية والموضوعية، وتزعم التفوق العنصري والثقافي للغرب المسيحي على الشرق الإسلامي"</w:t>
      </w:r>
      <w:r w:rsidR="00706747">
        <w:rPr>
          <w:rStyle w:val="Appelnotedebasdep"/>
          <w:rFonts w:ascii="Traditional Arabic" w:hAnsi="Traditional Arabic" w:cs="Traditional Arabic"/>
          <w:color w:val="000000" w:themeColor="text1"/>
          <w:sz w:val="36"/>
          <w:szCs w:val="36"/>
          <w:rtl/>
          <w:lang w:bidi="ar-DZ"/>
        </w:rPr>
        <w:footnoteReference w:id="5"/>
      </w:r>
      <w:r w:rsidR="00706747">
        <w:rPr>
          <w:rFonts w:ascii="Traditional Arabic" w:hAnsi="Traditional Arabic" w:cs="Traditional Arabic" w:hint="cs"/>
          <w:color w:val="000000" w:themeColor="text1"/>
          <w:sz w:val="36"/>
          <w:szCs w:val="36"/>
          <w:rtl/>
          <w:lang w:bidi="ar-DZ"/>
        </w:rPr>
        <w:t xml:space="preserve">، بمعنى أنّ الاستشراق في مفهومه العام تنقيب الغرب عن الحضارة العربية من كل جوانبها المادية والمعنوية، </w:t>
      </w:r>
      <w:r w:rsidR="007609DD">
        <w:rPr>
          <w:rFonts w:ascii="Traditional Arabic" w:hAnsi="Traditional Arabic" w:cs="Traditional Arabic" w:hint="cs"/>
          <w:color w:val="000000" w:themeColor="text1"/>
          <w:sz w:val="36"/>
          <w:szCs w:val="36"/>
          <w:rtl/>
          <w:lang w:bidi="ar-DZ"/>
        </w:rPr>
        <w:t xml:space="preserve">أو </w:t>
      </w:r>
      <w:r w:rsidR="00706747">
        <w:rPr>
          <w:rFonts w:ascii="Traditional Arabic" w:hAnsi="Traditional Arabic" w:cs="Traditional Arabic" w:hint="cs"/>
          <w:color w:val="000000" w:themeColor="text1"/>
          <w:sz w:val="36"/>
          <w:szCs w:val="36"/>
          <w:rtl/>
          <w:lang w:bidi="ar-DZ"/>
        </w:rPr>
        <w:t xml:space="preserve">كأن يوضع الشرق تحت مجهر الغرب للبحث عن الخبايا التي طورت تلك الحضارة من أجل </w:t>
      </w:r>
      <w:r w:rsidR="007609DD">
        <w:rPr>
          <w:rFonts w:ascii="Traditional Arabic" w:hAnsi="Traditional Arabic" w:cs="Traditional Arabic" w:hint="cs"/>
          <w:color w:val="000000" w:themeColor="text1"/>
          <w:sz w:val="36"/>
          <w:szCs w:val="36"/>
          <w:rtl/>
          <w:lang w:bidi="ar-DZ"/>
        </w:rPr>
        <w:t xml:space="preserve">فرض </w:t>
      </w:r>
      <w:r w:rsidR="00706747">
        <w:rPr>
          <w:rFonts w:ascii="Traditional Arabic" w:hAnsi="Traditional Arabic" w:cs="Traditional Arabic" w:hint="cs"/>
          <w:color w:val="000000" w:themeColor="text1"/>
          <w:sz w:val="36"/>
          <w:szCs w:val="36"/>
          <w:rtl/>
          <w:lang w:bidi="ar-DZ"/>
        </w:rPr>
        <w:t>قدرتها للت</w:t>
      </w:r>
      <w:r w:rsidR="007609DD">
        <w:rPr>
          <w:rFonts w:ascii="Traditional Arabic" w:hAnsi="Traditional Arabic" w:cs="Traditional Arabic" w:hint="cs"/>
          <w:color w:val="000000" w:themeColor="text1"/>
          <w:sz w:val="36"/>
          <w:szCs w:val="36"/>
          <w:rtl/>
          <w:lang w:bidi="ar-DZ"/>
        </w:rPr>
        <w:t>ّ</w:t>
      </w:r>
      <w:r w:rsidR="00706747">
        <w:rPr>
          <w:rFonts w:ascii="Traditional Arabic" w:hAnsi="Traditional Arabic" w:cs="Traditional Arabic" w:hint="cs"/>
          <w:color w:val="000000" w:themeColor="text1"/>
          <w:sz w:val="36"/>
          <w:szCs w:val="36"/>
          <w:rtl/>
          <w:lang w:bidi="ar-DZ"/>
        </w:rPr>
        <w:t>حكم بها دون إغفال منها لا شاردة ولا واردة.</w:t>
      </w:r>
    </w:p>
    <w:p w:rsidR="00A96BAE" w:rsidRDefault="00A96BAE" w:rsidP="00A96BAE">
      <w:pPr>
        <w:bidi/>
        <w:rPr>
          <w:rFonts w:ascii="Traditional Arabic" w:hAnsi="Traditional Arabic" w:cs="Traditional Arabic"/>
          <w:b/>
          <w:bCs/>
          <w:color w:val="4F6228" w:themeColor="accent3" w:themeShade="80"/>
          <w:sz w:val="36"/>
          <w:szCs w:val="36"/>
          <w:rtl/>
          <w:lang w:bidi="ar-DZ"/>
        </w:rPr>
      </w:pPr>
      <w:r>
        <w:rPr>
          <w:rFonts w:ascii="Traditional Arabic" w:hAnsi="Traditional Arabic" w:cs="Traditional Arabic" w:hint="cs"/>
          <w:b/>
          <w:bCs/>
          <w:color w:val="4F6228" w:themeColor="accent3" w:themeShade="80"/>
          <w:sz w:val="36"/>
          <w:szCs w:val="36"/>
          <w:rtl/>
          <w:lang w:bidi="ar-DZ"/>
        </w:rPr>
        <w:t xml:space="preserve">1- </w:t>
      </w:r>
      <w:r w:rsidRPr="000134EE">
        <w:rPr>
          <w:rFonts w:ascii="Traditional Arabic" w:hAnsi="Traditional Arabic" w:cs="Traditional Arabic" w:hint="cs"/>
          <w:b/>
          <w:bCs/>
          <w:color w:val="4F6228" w:themeColor="accent3" w:themeShade="80"/>
          <w:sz w:val="36"/>
          <w:szCs w:val="36"/>
          <w:rtl/>
          <w:lang w:bidi="ar-DZ"/>
        </w:rPr>
        <w:t>نشأة ال</w:t>
      </w:r>
      <w:r>
        <w:rPr>
          <w:rFonts w:ascii="Traditional Arabic" w:hAnsi="Traditional Arabic" w:cs="Traditional Arabic" w:hint="cs"/>
          <w:b/>
          <w:bCs/>
          <w:color w:val="4F6228" w:themeColor="accent3" w:themeShade="80"/>
          <w:sz w:val="36"/>
          <w:szCs w:val="36"/>
          <w:rtl/>
          <w:lang w:bidi="ar-DZ"/>
        </w:rPr>
        <w:t>ا</w:t>
      </w:r>
      <w:r w:rsidRPr="000134EE">
        <w:rPr>
          <w:rFonts w:ascii="Traditional Arabic" w:hAnsi="Traditional Arabic" w:cs="Traditional Arabic" w:hint="cs"/>
          <w:b/>
          <w:bCs/>
          <w:color w:val="4F6228" w:themeColor="accent3" w:themeShade="80"/>
          <w:sz w:val="36"/>
          <w:szCs w:val="36"/>
          <w:rtl/>
          <w:lang w:bidi="ar-DZ"/>
        </w:rPr>
        <w:t>ستشراق:</w:t>
      </w:r>
    </w:p>
    <w:p w:rsidR="00A96BAE" w:rsidRDefault="00A96BAE" w:rsidP="00A96BAE">
      <w:pPr>
        <w:bidi/>
        <w:rPr>
          <w:rFonts w:ascii="Traditional Arabic" w:hAnsi="Traditional Arabic" w:cs="Traditional Arabic"/>
          <w:color w:val="000000" w:themeColor="text1"/>
          <w:sz w:val="36"/>
          <w:szCs w:val="36"/>
          <w:rtl/>
          <w:lang w:bidi="ar-DZ"/>
        </w:rPr>
      </w:pPr>
      <w:r>
        <w:rPr>
          <w:rFonts w:ascii="Traditional Arabic" w:hAnsi="Traditional Arabic" w:cs="Traditional Arabic" w:hint="cs"/>
          <w:b/>
          <w:bCs/>
          <w:color w:val="4F6228" w:themeColor="accent3" w:themeShade="80"/>
          <w:sz w:val="36"/>
          <w:szCs w:val="36"/>
          <w:rtl/>
          <w:lang w:bidi="ar-DZ"/>
        </w:rPr>
        <w:t xml:space="preserve">  </w:t>
      </w:r>
      <w:r w:rsidRPr="00842B74">
        <w:rPr>
          <w:rFonts w:ascii="Traditional Arabic" w:hAnsi="Traditional Arabic" w:cs="Traditional Arabic" w:hint="cs"/>
          <w:color w:val="000000" w:themeColor="text1"/>
          <w:sz w:val="36"/>
          <w:szCs w:val="36"/>
          <w:rtl/>
          <w:lang w:bidi="ar-DZ"/>
        </w:rPr>
        <w:t xml:space="preserve">تعددت الآراء </w:t>
      </w:r>
      <w:r>
        <w:rPr>
          <w:rFonts w:ascii="Traditional Arabic" w:hAnsi="Traditional Arabic" w:cs="Traditional Arabic" w:hint="cs"/>
          <w:color w:val="000000" w:themeColor="text1"/>
          <w:sz w:val="36"/>
          <w:szCs w:val="36"/>
          <w:rtl/>
          <w:lang w:bidi="ar-DZ"/>
        </w:rPr>
        <w:t>حول نشأة الاستشراق، فهناك وجهات نظر عدت على حد قول الدكتور النملة: "من قبيل الإرهاص لها وما أتى بعدها يعدّ من قبيل تعميق الفكرة، والتوسع فيها وشد الانتباه إليها"</w:t>
      </w:r>
      <w:r>
        <w:rPr>
          <w:rStyle w:val="Appelnotedebasdep"/>
          <w:rFonts w:ascii="Traditional Arabic" w:hAnsi="Traditional Arabic" w:cs="Traditional Arabic"/>
          <w:color w:val="000000" w:themeColor="text1"/>
          <w:sz w:val="36"/>
          <w:szCs w:val="36"/>
          <w:rtl/>
          <w:lang w:bidi="ar-DZ"/>
        </w:rPr>
        <w:footnoteReference w:id="6"/>
      </w:r>
      <w:r>
        <w:rPr>
          <w:rFonts w:ascii="Traditional Arabic" w:hAnsi="Traditional Arabic" w:cs="Traditional Arabic" w:hint="cs"/>
          <w:color w:val="000000" w:themeColor="text1"/>
          <w:sz w:val="36"/>
          <w:szCs w:val="36"/>
          <w:rtl/>
          <w:lang w:bidi="ar-DZ"/>
        </w:rPr>
        <w:t xml:space="preserve">، فهناك من اعتبرها بدأت برحلة </w:t>
      </w:r>
      <w:r w:rsidRPr="00842B74">
        <w:rPr>
          <w:rFonts w:ascii="Traditional Arabic" w:hAnsi="Traditional Arabic" w:cs="Traditional Arabic" w:hint="cs"/>
          <w:b/>
          <w:bCs/>
          <w:color w:val="000000" w:themeColor="text1"/>
          <w:sz w:val="36"/>
          <w:szCs w:val="36"/>
          <w:rtl/>
          <w:lang w:bidi="ar-DZ"/>
        </w:rPr>
        <w:t>جربيدي أورياك</w:t>
      </w:r>
      <w:r>
        <w:rPr>
          <w:rFonts w:ascii="Traditional Arabic" w:hAnsi="Traditional Arabic" w:cs="Traditional Arabic" w:hint="cs"/>
          <w:b/>
          <w:bCs/>
          <w:color w:val="000000" w:themeColor="text1"/>
          <w:sz w:val="36"/>
          <w:szCs w:val="36"/>
          <w:rtl/>
          <w:lang w:bidi="ar-DZ"/>
        </w:rPr>
        <w:t xml:space="preserve"> من فرنسا سنة 967م </w:t>
      </w:r>
      <w:r>
        <w:rPr>
          <w:rFonts w:ascii="Traditional Arabic" w:hAnsi="Traditional Arabic" w:cs="Traditional Arabic" w:hint="cs"/>
          <w:color w:val="000000" w:themeColor="text1"/>
          <w:sz w:val="36"/>
          <w:szCs w:val="36"/>
          <w:rtl/>
          <w:lang w:bidi="ar-DZ"/>
        </w:rPr>
        <w:t>إلى قرطبة، وهناك من يرى أنّ اهتمام النصارى بالدين الإسلامي وهجرة المسلمين إلى الحبشة، واعتناق ملكها الإسلام، ورحلة الرسول عليه الصلاة والسلام لتسليم رسالة إلى الملوك خارج الجزيرة العربية يدعوهم فيها إلى الإسلام</w:t>
      </w:r>
      <w:r>
        <w:rPr>
          <w:rStyle w:val="Appelnotedebasdep"/>
          <w:rFonts w:ascii="Traditional Arabic" w:hAnsi="Traditional Arabic" w:cs="Traditional Arabic"/>
          <w:color w:val="000000" w:themeColor="text1"/>
          <w:sz w:val="36"/>
          <w:szCs w:val="36"/>
          <w:rtl/>
          <w:lang w:bidi="ar-DZ"/>
        </w:rPr>
        <w:footnoteReference w:id="7"/>
      </w:r>
      <w:r>
        <w:rPr>
          <w:rFonts w:ascii="Traditional Arabic" w:hAnsi="Traditional Arabic" w:cs="Traditional Arabic" w:hint="cs"/>
          <w:color w:val="000000" w:themeColor="text1"/>
          <w:sz w:val="36"/>
          <w:szCs w:val="36"/>
          <w:rtl/>
          <w:lang w:bidi="ar-DZ"/>
        </w:rPr>
        <w:t xml:space="preserve">، وهناك من يرى بأنّ كتاب الراهب السوري </w:t>
      </w:r>
      <w:r w:rsidRPr="0057234A">
        <w:rPr>
          <w:rFonts w:ascii="Traditional Arabic" w:hAnsi="Traditional Arabic" w:cs="Traditional Arabic" w:hint="cs"/>
          <w:b/>
          <w:bCs/>
          <w:color w:val="000000" w:themeColor="text1"/>
          <w:sz w:val="36"/>
          <w:szCs w:val="36"/>
          <w:rtl/>
          <w:lang w:bidi="ar-DZ"/>
        </w:rPr>
        <w:t>"يوحنا الدمشقي"</w:t>
      </w:r>
      <w:r>
        <w:rPr>
          <w:rFonts w:ascii="Traditional Arabic" w:hAnsi="Traditional Arabic" w:cs="Traditional Arabic" w:hint="cs"/>
          <w:color w:val="000000" w:themeColor="text1"/>
          <w:sz w:val="36"/>
          <w:szCs w:val="36"/>
          <w:rtl/>
          <w:lang w:bidi="ar-DZ"/>
        </w:rPr>
        <w:t xml:space="preserve"> من أول من لفت الانتباه </w:t>
      </w:r>
      <w:r>
        <w:rPr>
          <w:rFonts w:ascii="Traditional Arabic" w:hAnsi="Traditional Arabic" w:cs="Traditional Arabic" w:hint="cs"/>
          <w:color w:val="000000" w:themeColor="text1"/>
          <w:sz w:val="36"/>
          <w:szCs w:val="36"/>
          <w:rtl/>
          <w:lang w:bidi="ar-DZ"/>
        </w:rPr>
        <w:lastRenderedPageBreak/>
        <w:t xml:space="preserve">إلى المسلمين والآراء المبثوثة حولهم. وسبب آخر تمثل في الحروب الصليبية التي دفعت بهم غلى محاولى التعرف عليهم عن قرب. لكن البداية الرسمية للاستشراق انطلقت من </w:t>
      </w:r>
      <w:r w:rsidRPr="003F5AB4">
        <w:rPr>
          <w:rFonts w:ascii="Traditional Arabic" w:hAnsi="Traditional Arabic" w:cs="Traditional Arabic" w:hint="cs"/>
          <w:b/>
          <w:bCs/>
          <w:color w:val="000000" w:themeColor="text1"/>
          <w:sz w:val="36"/>
          <w:szCs w:val="36"/>
          <w:rtl/>
          <w:lang w:bidi="ar-DZ"/>
        </w:rPr>
        <w:t>مجمع فيينا الكنسي سنة</w:t>
      </w:r>
      <w:r>
        <w:rPr>
          <w:rFonts w:ascii="Traditional Arabic" w:hAnsi="Traditional Arabic" w:cs="Traditional Arabic" w:hint="cs"/>
          <w:color w:val="000000" w:themeColor="text1"/>
          <w:sz w:val="36"/>
          <w:szCs w:val="36"/>
          <w:rtl/>
          <w:lang w:bidi="ar-DZ"/>
        </w:rPr>
        <w:t xml:space="preserve"> </w:t>
      </w:r>
      <w:r w:rsidRPr="003F5AB4">
        <w:rPr>
          <w:rFonts w:ascii="Traditional Arabic" w:hAnsi="Traditional Arabic" w:cs="Traditional Arabic" w:hint="cs"/>
          <w:b/>
          <w:bCs/>
          <w:color w:val="000000" w:themeColor="text1"/>
          <w:sz w:val="36"/>
          <w:szCs w:val="36"/>
          <w:rtl/>
          <w:lang w:bidi="ar-DZ"/>
        </w:rPr>
        <w:t>712ه/1312م</w:t>
      </w:r>
      <w:r>
        <w:rPr>
          <w:rFonts w:ascii="Traditional Arabic" w:hAnsi="Traditional Arabic" w:cs="Traditional Arabic" w:hint="cs"/>
          <w:color w:val="000000" w:themeColor="text1"/>
          <w:sz w:val="36"/>
          <w:szCs w:val="36"/>
          <w:rtl/>
          <w:lang w:bidi="ar-DZ"/>
        </w:rPr>
        <w:t xml:space="preserve"> الذي "أوصى بإنشاء كراسي للغات ومنها اللغة العربية، ولا سيما التّشريع الحادي عشر الذي قضى فيه البابا </w:t>
      </w:r>
      <w:r w:rsidRPr="003F5AB4">
        <w:rPr>
          <w:rFonts w:ascii="Traditional Arabic" w:hAnsi="Traditional Arabic" w:cs="Traditional Arabic" w:hint="cs"/>
          <w:b/>
          <w:bCs/>
          <w:color w:val="000000" w:themeColor="text1"/>
          <w:sz w:val="36"/>
          <w:szCs w:val="36"/>
          <w:rtl/>
          <w:lang w:bidi="ar-DZ"/>
        </w:rPr>
        <w:t>"اكليمنس الخامس"</w:t>
      </w:r>
      <w:r>
        <w:rPr>
          <w:rFonts w:ascii="Traditional Arabic" w:hAnsi="Traditional Arabic" w:cs="Traditional Arabic" w:hint="cs"/>
          <w:b/>
          <w:bCs/>
          <w:color w:val="000000" w:themeColor="text1"/>
          <w:sz w:val="36"/>
          <w:szCs w:val="36"/>
          <w:rtl/>
          <w:lang w:bidi="ar-DZ"/>
        </w:rPr>
        <w:t xml:space="preserve"> </w:t>
      </w:r>
      <w:r w:rsidRPr="003F5AB4">
        <w:rPr>
          <w:rFonts w:ascii="Traditional Arabic" w:hAnsi="Traditional Arabic" w:cs="Traditional Arabic" w:hint="cs"/>
          <w:color w:val="000000" w:themeColor="text1"/>
          <w:sz w:val="36"/>
          <w:szCs w:val="36"/>
          <w:rtl/>
          <w:lang w:bidi="ar-DZ"/>
        </w:rPr>
        <w:t>بت</w:t>
      </w:r>
      <w:r>
        <w:rPr>
          <w:rFonts w:ascii="Traditional Arabic" w:hAnsi="Traditional Arabic" w:cs="Traditional Arabic" w:hint="cs"/>
          <w:color w:val="000000" w:themeColor="text1"/>
          <w:sz w:val="36"/>
          <w:szCs w:val="36"/>
          <w:rtl/>
          <w:lang w:bidi="ar-DZ"/>
        </w:rPr>
        <w:t>أسيس كراسي لتدريس العبرية واليونانية والعربية والكلدانية (السريانية، الآرامية) في الجامعات الرئيسية وكان صاحب الاقتراح ريموند لول الذي دعى إلى تعلم العربية بوصفه أفضل الوسائل لارتداد العرب إلى المسيحية"</w:t>
      </w:r>
      <w:r>
        <w:rPr>
          <w:rStyle w:val="Appelnotedebasdep"/>
          <w:rFonts w:ascii="Traditional Arabic" w:hAnsi="Traditional Arabic" w:cs="Traditional Arabic"/>
          <w:color w:val="000000" w:themeColor="text1"/>
          <w:sz w:val="36"/>
          <w:szCs w:val="36"/>
          <w:rtl/>
          <w:lang w:bidi="ar-DZ"/>
        </w:rPr>
        <w:footnoteReference w:id="8"/>
      </w:r>
      <w:r>
        <w:rPr>
          <w:rFonts w:ascii="Traditional Arabic" w:hAnsi="Traditional Arabic" w:cs="Traditional Arabic" w:hint="cs"/>
          <w:color w:val="000000" w:themeColor="text1"/>
          <w:sz w:val="36"/>
          <w:szCs w:val="36"/>
          <w:rtl/>
          <w:lang w:bidi="ar-DZ"/>
        </w:rPr>
        <w:t xml:space="preserve">، والبداية الحقيقية تتمثل في </w:t>
      </w:r>
      <w:r w:rsidRPr="00D77CD3">
        <w:rPr>
          <w:rFonts w:ascii="Traditional Arabic" w:hAnsi="Traditional Arabic" w:cs="Traditional Arabic" w:hint="cs"/>
          <w:b/>
          <w:bCs/>
          <w:color w:val="000000" w:themeColor="text1"/>
          <w:sz w:val="36"/>
          <w:szCs w:val="36"/>
          <w:rtl/>
          <w:lang w:bidi="ar-DZ"/>
        </w:rPr>
        <w:t>نهضة أوروبا الصناعية</w:t>
      </w:r>
      <w:r>
        <w:rPr>
          <w:rFonts w:ascii="Traditional Arabic" w:hAnsi="Traditional Arabic" w:cs="Traditional Arabic" w:hint="cs"/>
          <w:color w:val="000000" w:themeColor="text1"/>
          <w:sz w:val="36"/>
          <w:szCs w:val="36"/>
          <w:rtl/>
          <w:lang w:bidi="ar-DZ"/>
        </w:rPr>
        <w:t xml:space="preserve"> حيث فقد ظهرت في هذه المرحلة "الجامعات ومراكز البحث وأنفقت ولا تزال تنفق بسخاء على هذه البحوث ومما لا ريب فيه أنّ القرن السادس عشر كان خطوة عظيمة في تطور الاستشراق حيث بدأت الطباعة العربية فيه بنشاطها فتحركت الدوائر العلمية وأخذت تصدر كتابا بعد الآخر وخاصة بعد أن أصبح في وسع الطباعة العربية في أوروا أن تستعين في سنة أنشأها </w:t>
      </w:r>
      <w:r w:rsidRPr="00D77CD3">
        <w:rPr>
          <w:rFonts w:ascii="Traditional Arabic" w:hAnsi="Traditional Arabic" w:cs="Traditional Arabic" w:hint="cs"/>
          <w:b/>
          <w:bCs/>
          <w:color w:val="000000" w:themeColor="text1"/>
          <w:sz w:val="36"/>
          <w:szCs w:val="36"/>
          <w:rtl/>
          <w:lang w:bidi="ar-DZ"/>
        </w:rPr>
        <w:t>فرديناند دو ميدت</w:t>
      </w:r>
      <w:r>
        <w:rPr>
          <w:rFonts w:ascii="Traditional Arabic" w:hAnsi="Traditional Arabic" w:cs="Traditional Arabic" w:hint="cs"/>
          <w:b/>
          <w:bCs/>
          <w:color w:val="000000" w:themeColor="text1"/>
          <w:sz w:val="36"/>
          <w:szCs w:val="36"/>
          <w:rtl/>
          <w:lang w:bidi="ar-DZ"/>
        </w:rPr>
        <w:t>يشي</w:t>
      </w:r>
      <w:r w:rsidRPr="00D77CD3">
        <w:rPr>
          <w:rFonts w:ascii="Traditional Arabic" w:hAnsi="Traditional Arabic" w:cs="Traditional Arabic" w:hint="cs"/>
          <w:b/>
          <w:bCs/>
          <w:color w:val="000000" w:themeColor="text1"/>
          <w:sz w:val="36"/>
          <w:szCs w:val="36"/>
          <w:rtl/>
          <w:lang w:bidi="ar-DZ"/>
        </w:rPr>
        <w:t xml:space="preserve"> كاردينال </w:t>
      </w:r>
      <w:r w:rsidRPr="00D77CD3">
        <w:rPr>
          <w:rFonts w:ascii="Traditional Arabic" w:hAnsi="Traditional Arabic" w:cs="Traditional Arabic" w:hint="cs"/>
          <w:color w:val="000000" w:themeColor="text1"/>
          <w:sz w:val="36"/>
          <w:szCs w:val="36"/>
          <w:rtl/>
          <w:lang w:bidi="ar-DZ"/>
        </w:rPr>
        <w:t>و</w:t>
      </w:r>
      <w:r>
        <w:rPr>
          <w:rFonts w:ascii="Traditional Arabic" w:hAnsi="Traditional Arabic" w:cs="Traditional Arabic" w:hint="cs"/>
          <w:b/>
          <w:bCs/>
          <w:color w:val="000000" w:themeColor="text1"/>
          <w:sz w:val="36"/>
          <w:szCs w:val="36"/>
          <w:rtl/>
          <w:lang w:bidi="ar-DZ"/>
        </w:rPr>
        <w:t xml:space="preserve">دوق توسكانيا  </w:t>
      </w:r>
      <w:r w:rsidRPr="00D77CD3">
        <w:rPr>
          <w:rFonts w:ascii="Traditional Arabic" w:hAnsi="Traditional Arabic" w:cs="Traditional Arabic" w:hint="cs"/>
          <w:color w:val="000000" w:themeColor="text1"/>
          <w:sz w:val="36"/>
          <w:szCs w:val="36"/>
          <w:rtl/>
          <w:lang w:bidi="ar-DZ"/>
        </w:rPr>
        <w:t>1586</w:t>
      </w:r>
      <w:r>
        <w:rPr>
          <w:rFonts w:ascii="Traditional Arabic" w:hAnsi="Traditional Arabic" w:cs="Traditional Arabic" w:hint="cs"/>
          <w:color w:val="000000" w:themeColor="text1"/>
          <w:sz w:val="36"/>
          <w:szCs w:val="36"/>
          <w:rtl/>
          <w:lang w:bidi="ar-DZ"/>
        </w:rPr>
        <w:t xml:space="preserve"> بالمطبعة التي قد اتخذها في العمل التبشيري مبررا لإنشائها وأخذت هذه المطبعة منذ البداية في طبع المؤلفات الطبية والفلسفية لابن سينا وكتابا في النّحو والجغرافيا والرياضيات وغيرها من العلوم العربية وآدابها"</w:t>
      </w:r>
      <w:r>
        <w:rPr>
          <w:rStyle w:val="Appelnotedebasdep"/>
          <w:rFonts w:ascii="Traditional Arabic" w:hAnsi="Traditional Arabic" w:cs="Traditional Arabic"/>
          <w:color w:val="000000" w:themeColor="text1"/>
          <w:sz w:val="36"/>
          <w:szCs w:val="36"/>
          <w:rtl/>
          <w:lang w:bidi="ar-DZ"/>
        </w:rPr>
        <w:footnoteReference w:id="9"/>
      </w:r>
      <w:r>
        <w:rPr>
          <w:rFonts w:ascii="Traditional Arabic" w:hAnsi="Traditional Arabic" w:cs="Traditional Arabic" w:hint="cs"/>
          <w:color w:val="000000" w:themeColor="text1"/>
          <w:sz w:val="36"/>
          <w:szCs w:val="36"/>
          <w:rtl/>
          <w:lang w:bidi="ar-DZ"/>
        </w:rPr>
        <w:t>، بمعنى أنّ البدايات كانت إرهاصات له لكن الخطوة الأولى جاءت في بداية القرن السادس عشر، أي مع بداية الطباعة العربية التي أنتجت كتبا عديدة وازداد نشاط الاستشراق بإنشاء كراسي عربية في جامعات أوروبية وعقد أول مؤتمر للمستشرقين في باريس 1873م</w:t>
      </w:r>
      <w:r>
        <w:rPr>
          <w:rStyle w:val="Appelnotedebasdep"/>
          <w:rFonts w:ascii="Traditional Arabic" w:hAnsi="Traditional Arabic" w:cs="Traditional Arabic"/>
          <w:color w:val="000000" w:themeColor="text1"/>
          <w:sz w:val="36"/>
          <w:szCs w:val="36"/>
          <w:rtl/>
          <w:lang w:bidi="ar-DZ"/>
        </w:rPr>
        <w:footnoteReference w:id="10"/>
      </w:r>
      <w:r>
        <w:rPr>
          <w:rFonts w:ascii="Traditional Arabic" w:hAnsi="Traditional Arabic" w:cs="Traditional Arabic" w:hint="cs"/>
          <w:color w:val="000000" w:themeColor="text1"/>
          <w:sz w:val="36"/>
          <w:szCs w:val="36"/>
          <w:rtl/>
          <w:lang w:bidi="ar-DZ"/>
        </w:rPr>
        <w:t>.</w:t>
      </w:r>
    </w:p>
    <w:p w:rsidR="00A96BAE" w:rsidRDefault="00A96BAE" w:rsidP="00A96BAE">
      <w:pPr>
        <w:bidi/>
        <w:rPr>
          <w:rFonts w:ascii="Traditional Arabic" w:hAnsi="Traditional Arabic" w:cs="Traditional Arabic"/>
          <w:b/>
          <w:bCs/>
          <w:color w:val="4F6228" w:themeColor="accent3" w:themeShade="80"/>
          <w:sz w:val="36"/>
          <w:szCs w:val="36"/>
          <w:rtl/>
          <w:lang w:bidi="ar-DZ"/>
        </w:rPr>
      </w:pPr>
      <w:r>
        <w:rPr>
          <w:rFonts w:ascii="Traditional Arabic" w:hAnsi="Traditional Arabic" w:cs="Traditional Arabic" w:hint="cs"/>
          <w:b/>
          <w:bCs/>
          <w:color w:val="4F6228" w:themeColor="accent3" w:themeShade="80"/>
          <w:sz w:val="36"/>
          <w:szCs w:val="36"/>
          <w:rtl/>
          <w:lang w:bidi="ar-DZ"/>
        </w:rPr>
        <w:t xml:space="preserve">2- </w:t>
      </w:r>
      <w:r w:rsidRPr="001B7837">
        <w:rPr>
          <w:rFonts w:ascii="Traditional Arabic" w:hAnsi="Traditional Arabic" w:cs="Traditional Arabic" w:hint="cs"/>
          <w:b/>
          <w:bCs/>
          <w:color w:val="4F6228" w:themeColor="accent3" w:themeShade="80"/>
          <w:sz w:val="36"/>
          <w:szCs w:val="36"/>
          <w:rtl/>
          <w:lang w:bidi="ar-DZ"/>
        </w:rPr>
        <w:t>تطور ال</w:t>
      </w:r>
      <w:r>
        <w:rPr>
          <w:rFonts w:ascii="Traditional Arabic" w:hAnsi="Traditional Arabic" w:cs="Traditional Arabic" w:hint="cs"/>
          <w:b/>
          <w:bCs/>
          <w:color w:val="4F6228" w:themeColor="accent3" w:themeShade="80"/>
          <w:sz w:val="36"/>
          <w:szCs w:val="36"/>
          <w:rtl/>
          <w:lang w:bidi="ar-DZ"/>
        </w:rPr>
        <w:t>استشراق</w:t>
      </w:r>
      <w:r w:rsidRPr="001B7837">
        <w:rPr>
          <w:rFonts w:ascii="Traditional Arabic" w:hAnsi="Traditional Arabic" w:cs="Traditional Arabic" w:hint="cs"/>
          <w:b/>
          <w:bCs/>
          <w:color w:val="4F6228" w:themeColor="accent3" w:themeShade="80"/>
          <w:sz w:val="36"/>
          <w:szCs w:val="36"/>
          <w:rtl/>
          <w:lang w:bidi="ar-DZ"/>
        </w:rPr>
        <w:t>:</w:t>
      </w:r>
    </w:p>
    <w:p w:rsidR="00A96BAE" w:rsidRPr="00A96BAE" w:rsidRDefault="00A96BAE" w:rsidP="00A96BAE">
      <w:pPr>
        <w:bidi/>
        <w:rPr>
          <w:rFonts w:ascii="Traditional Arabic" w:hAnsi="Traditional Arabic" w:cs="Traditional Arabic"/>
          <w:color w:val="000000" w:themeColor="text1"/>
          <w:sz w:val="36"/>
          <w:szCs w:val="36"/>
          <w:rtl/>
          <w:lang w:bidi="ar-DZ"/>
        </w:rPr>
      </w:pPr>
      <w:r>
        <w:rPr>
          <w:rFonts w:ascii="Traditional Arabic" w:hAnsi="Traditional Arabic" w:cs="Traditional Arabic" w:hint="cs"/>
          <w:b/>
          <w:bCs/>
          <w:color w:val="4F6228" w:themeColor="accent3" w:themeShade="80"/>
          <w:sz w:val="36"/>
          <w:szCs w:val="36"/>
          <w:rtl/>
          <w:lang w:bidi="ar-DZ"/>
        </w:rPr>
        <w:t xml:space="preserve">  </w:t>
      </w:r>
      <w:r w:rsidRPr="001B7837">
        <w:rPr>
          <w:rFonts w:ascii="Traditional Arabic" w:hAnsi="Traditional Arabic" w:cs="Traditional Arabic" w:hint="cs"/>
          <w:color w:val="000000" w:themeColor="text1"/>
          <w:sz w:val="36"/>
          <w:szCs w:val="36"/>
          <w:rtl/>
          <w:lang w:bidi="ar-DZ"/>
        </w:rPr>
        <w:t xml:space="preserve">الفكر </w:t>
      </w:r>
      <w:r>
        <w:rPr>
          <w:rFonts w:ascii="Traditional Arabic" w:hAnsi="Traditional Arabic" w:cs="Traditional Arabic" w:hint="cs"/>
          <w:color w:val="000000" w:themeColor="text1"/>
          <w:sz w:val="36"/>
          <w:szCs w:val="36"/>
          <w:rtl/>
          <w:lang w:bidi="ar-DZ"/>
        </w:rPr>
        <w:t xml:space="preserve">الاستشراقي الغربي في بدايته جاء مهتما بالإسلام كحضارة وثقافة، حيث اهتمت المسيحية بالدراسات الإسلامية خاصة فيما يتعلق بقضايا العقيدة في القرآن، ثم تطور الاهتمام إلى الجانب العلمي من خلال اهتمامهم بترجمة الكتب العربية وتدريسها في مراكزهم العلمية، باقرار أمر ملكي من طرف </w:t>
      </w:r>
      <w:r w:rsidRPr="00386775">
        <w:rPr>
          <w:rFonts w:ascii="Traditional Arabic" w:hAnsi="Traditional Arabic" w:cs="Traditional Arabic" w:hint="cs"/>
          <w:b/>
          <w:bCs/>
          <w:color w:val="000000" w:themeColor="text1"/>
          <w:sz w:val="36"/>
          <w:szCs w:val="36"/>
          <w:rtl/>
          <w:lang w:bidi="ar-DZ"/>
        </w:rPr>
        <w:t>الملك العاشر حاكم فرنسا</w:t>
      </w:r>
      <w:r>
        <w:rPr>
          <w:rFonts w:ascii="Traditional Arabic" w:hAnsi="Traditional Arabic" w:cs="Traditional Arabic" w:hint="cs"/>
          <w:color w:val="000000" w:themeColor="text1"/>
          <w:sz w:val="36"/>
          <w:szCs w:val="36"/>
          <w:rtl/>
          <w:lang w:bidi="ar-DZ"/>
        </w:rPr>
        <w:t xml:space="preserve">، تمثل في التدريس من طرف أساتذة عرب أو أساتذة درسوا في </w:t>
      </w:r>
      <w:r>
        <w:rPr>
          <w:rFonts w:ascii="Traditional Arabic" w:hAnsi="Traditional Arabic" w:cs="Traditional Arabic" w:hint="cs"/>
          <w:color w:val="000000" w:themeColor="text1"/>
          <w:sz w:val="36"/>
          <w:szCs w:val="36"/>
          <w:rtl/>
          <w:lang w:bidi="ar-DZ"/>
        </w:rPr>
        <w:lastRenderedPageBreak/>
        <w:t xml:space="preserve">مدارس عربية في إسبانيا، وارسال بعثات علمية من طلاب أوربيين إلى الأندلس للدراسة على أيدي علماء عرب. لكن في </w:t>
      </w:r>
      <w:r w:rsidRPr="00386775">
        <w:rPr>
          <w:rFonts w:ascii="Traditional Arabic" w:hAnsi="Traditional Arabic" w:cs="Traditional Arabic" w:hint="cs"/>
          <w:b/>
          <w:bCs/>
          <w:color w:val="000000" w:themeColor="text1"/>
          <w:sz w:val="36"/>
          <w:szCs w:val="36"/>
          <w:rtl/>
          <w:lang w:bidi="ar-DZ"/>
        </w:rPr>
        <w:t>القرن العاشر ميلادي أي بعد وفاة البابا سلفيستر الثاني</w:t>
      </w:r>
      <w:r>
        <w:rPr>
          <w:rFonts w:ascii="Traditional Arabic" w:hAnsi="Traditional Arabic" w:cs="Traditional Arabic" w:hint="cs"/>
          <w:color w:val="000000" w:themeColor="text1"/>
          <w:sz w:val="36"/>
          <w:szCs w:val="36"/>
          <w:rtl/>
          <w:lang w:bidi="ar-DZ"/>
        </w:rPr>
        <w:t>، تم التشجيع على الاستفادة من العلوم العربية، والاقتباس من الحضارة الاسلامية، لكن بعد الحروب الصليبية وفشلها تغيرت النّفسية بين الشرق والغرب، حيث نتج عنها التّعصب الديني ضد المسلمين. مما ولد عندهم فكرة الاطلاع على الحضارة الإسلامية من أجل القضاء عليها وذلك من خلال إضعاف القيم الإسلامية وإثارة الخلافات والتناقضات بين شعوبها ودولها</w:t>
      </w:r>
      <w:r>
        <w:rPr>
          <w:rStyle w:val="Appelnotedebasdep"/>
          <w:rFonts w:ascii="Traditional Arabic" w:hAnsi="Traditional Arabic" w:cs="Traditional Arabic"/>
          <w:color w:val="000000" w:themeColor="text1"/>
          <w:sz w:val="36"/>
          <w:szCs w:val="36"/>
          <w:rtl/>
          <w:lang w:bidi="ar-DZ"/>
        </w:rPr>
        <w:footnoteReference w:id="11"/>
      </w:r>
      <w:r>
        <w:rPr>
          <w:rFonts w:ascii="Traditional Arabic" w:hAnsi="Traditional Arabic" w:cs="Traditional Arabic" w:hint="cs"/>
          <w:color w:val="000000" w:themeColor="text1"/>
          <w:sz w:val="36"/>
          <w:szCs w:val="36"/>
          <w:rtl/>
          <w:lang w:bidi="ar-DZ"/>
        </w:rPr>
        <w:t>، أمّا في القرن السادس والسابع العاشر ضاعف الغرب مجهوداته للبحث في الثقافة الإسلامية والإستفادة منها بعكس العالم الإسلامي الذي كان غافلا عما له ومستسلما لواقعه وراضيا بتخلفه، فالمستشرقون في هذه المرحلة كان لهم دورا فعالا في خدمة الثقافة العربية والسعي لتطوير مناهج الدراسات الإسلامية</w:t>
      </w:r>
      <w:r>
        <w:rPr>
          <w:rStyle w:val="Appelnotedebasdep"/>
          <w:rFonts w:ascii="Traditional Arabic" w:hAnsi="Traditional Arabic" w:cs="Traditional Arabic"/>
          <w:color w:val="000000" w:themeColor="text1"/>
          <w:sz w:val="36"/>
          <w:szCs w:val="36"/>
          <w:rtl/>
          <w:lang w:bidi="ar-DZ"/>
        </w:rPr>
        <w:footnoteReference w:id="12"/>
      </w:r>
      <w:r>
        <w:rPr>
          <w:rFonts w:ascii="Traditional Arabic" w:hAnsi="Traditional Arabic" w:cs="Traditional Arabic" w:hint="cs"/>
          <w:color w:val="000000" w:themeColor="text1"/>
          <w:sz w:val="36"/>
          <w:szCs w:val="36"/>
          <w:rtl/>
          <w:lang w:bidi="ar-DZ"/>
        </w:rPr>
        <w:t>.</w:t>
      </w:r>
    </w:p>
    <w:p w:rsidR="00A96BAE" w:rsidRDefault="00A96BAE" w:rsidP="00A96BAE">
      <w:pPr>
        <w:bidi/>
        <w:rPr>
          <w:rFonts w:ascii="Traditional Arabic" w:hAnsi="Traditional Arabic" w:cs="Traditional Arabic"/>
          <w:b/>
          <w:bCs/>
          <w:color w:val="4F6228" w:themeColor="accent3" w:themeShade="80"/>
          <w:sz w:val="36"/>
          <w:szCs w:val="36"/>
          <w:rtl/>
          <w:lang w:bidi="ar-DZ"/>
        </w:rPr>
      </w:pPr>
      <w:r w:rsidRPr="000F382B">
        <w:rPr>
          <w:rFonts w:ascii="Traditional Arabic" w:hAnsi="Traditional Arabic" w:cs="Traditional Arabic" w:hint="cs"/>
          <w:b/>
          <w:bCs/>
          <w:color w:val="4F6228" w:themeColor="accent3" w:themeShade="80"/>
          <w:sz w:val="36"/>
          <w:szCs w:val="36"/>
          <w:rtl/>
          <w:lang w:bidi="ar-DZ"/>
        </w:rPr>
        <w:t>دوافع الاستشراق:</w:t>
      </w:r>
    </w:p>
    <w:p w:rsidR="00A96BAE" w:rsidRDefault="00A96BAE" w:rsidP="00A96BAE">
      <w:pPr>
        <w:bidi/>
        <w:rPr>
          <w:rFonts w:ascii="Traditional Arabic" w:hAnsi="Traditional Arabic" w:cs="Traditional Arabic"/>
          <w:color w:val="000000" w:themeColor="text1"/>
          <w:sz w:val="36"/>
          <w:szCs w:val="36"/>
          <w:rtl/>
          <w:lang w:bidi="ar-DZ"/>
        </w:rPr>
      </w:pPr>
      <w:r>
        <w:rPr>
          <w:rFonts w:ascii="Traditional Arabic" w:hAnsi="Traditional Arabic" w:cs="Traditional Arabic" w:hint="cs"/>
          <w:b/>
          <w:bCs/>
          <w:color w:val="4F6228" w:themeColor="accent3" w:themeShade="80"/>
          <w:sz w:val="36"/>
          <w:szCs w:val="36"/>
          <w:rtl/>
          <w:lang w:bidi="ar-DZ"/>
        </w:rPr>
        <w:t xml:space="preserve">  </w:t>
      </w:r>
      <w:r w:rsidRPr="000F382B">
        <w:rPr>
          <w:rFonts w:ascii="Traditional Arabic" w:hAnsi="Traditional Arabic" w:cs="Traditional Arabic" w:hint="cs"/>
          <w:color w:val="000000" w:themeColor="text1"/>
          <w:sz w:val="36"/>
          <w:szCs w:val="36"/>
          <w:rtl/>
          <w:lang w:bidi="ar-DZ"/>
        </w:rPr>
        <w:t xml:space="preserve">للحضارة الغربية </w:t>
      </w:r>
      <w:r>
        <w:rPr>
          <w:rFonts w:ascii="Traditional Arabic" w:hAnsi="Traditional Arabic" w:cs="Traditional Arabic" w:hint="cs"/>
          <w:color w:val="000000" w:themeColor="text1"/>
          <w:sz w:val="36"/>
          <w:szCs w:val="36"/>
          <w:rtl/>
          <w:lang w:bidi="ar-DZ"/>
        </w:rPr>
        <w:t>دوافع كثيرة حفزتها لدراسة تاريخ الإسلام وحضارته، بمعنى الاطلاع على الآخر من أجل فهم روح الحضارات ونستطيع أن نوجزها في نقاط مهمة:</w:t>
      </w:r>
    </w:p>
    <w:p w:rsidR="00A96BAE" w:rsidRPr="00B94B36" w:rsidRDefault="00A96BAE" w:rsidP="00A96BAE">
      <w:pPr>
        <w:bidi/>
        <w:rPr>
          <w:rFonts w:ascii="Traditional Arabic" w:hAnsi="Traditional Arabic" w:cs="Traditional Arabic"/>
          <w:b/>
          <w:bCs/>
          <w:color w:val="984806" w:themeColor="accent6" w:themeShade="80"/>
          <w:sz w:val="36"/>
          <w:szCs w:val="36"/>
          <w:lang w:bidi="ar-DZ"/>
        </w:rPr>
      </w:pPr>
      <w:r>
        <w:rPr>
          <w:rFonts w:ascii="Traditional Arabic" w:hAnsi="Traditional Arabic" w:cs="Traditional Arabic" w:hint="cs"/>
          <w:b/>
          <w:bCs/>
          <w:color w:val="984806" w:themeColor="accent6" w:themeShade="80"/>
          <w:sz w:val="36"/>
          <w:szCs w:val="36"/>
          <w:rtl/>
          <w:lang w:bidi="ar-DZ"/>
        </w:rPr>
        <w:t xml:space="preserve">1- </w:t>
      </w:r>
      <w:r w:rsidRPr="00B94B36">
        <w:rPr>
          <w:rFonts w:ascii="Traditional Arabic" w:hAnsi="Traditional Arabic" w:cs="Traditional Arabic" w:hint="cs"/>
          <w:b/>
          <w:bCs/>
          <w:color w:val="984806" w:themeColor="accent6" w:themeShade="80"/>
          <w:sz w:val="36"/>
          <w:szCs w:val="36"/>
          <w:rtl/>
          <w:lang w:bidi="ar-DZ"/>
        </w:rPr>
        <w:t xml:space="preserve">الدافع الديني: </w:t>
      </w:r>
    </w:p>
    <w:p w:rsidR="00A96BAE" w:rsidRPr="009C5C07" w:rsidRDefault="00A96BAE" w:rsidP="00A96BAE">
      <w:pPr>
        <w:bidi/>
        <w:rPr>
          <w:rFonts w:ascii="Traditional Arabic" w:hAnsi="Traditional Arabic" w:cs="Traditional Arabic"/>
          <w:b/>
          <w:bCs/>
          <w:color w:val="984806" w:themeColor="accent6" w:themeShade="80"/>
          <w:sz w:val="36"/>
          <w:szCs w:val="36"/>
          <w:lang w:bidi="ar-DZ"/>
        </w:rPr>
      </w:pPr>
      <w:r>
        <w:rPr>
          <w:rFonts w:ascii="Traditional Arabic" w:hAnsi="Traditional Arabic" w:cs="Traditional Arabic" w:hint="cs"/>
          <w:color w:val="000000" w:themeColor="text1"/>
          <w:sz w:val="36"/>
          <w:szCs w:val="36"/>
          <w:rtl/>
          <w:lang w:bidi="ar-DZ"/>
        </w:rPr>
        <w:t xml:space="preserve">  </w:t>
      </w:r>
      <w:r w:rsidRPr="009C5C07">
        <w:rPr>
          <w:rFonts w:ascii="Traditional Arabic" w:hAnsi="Traditional Arabic" w:cs="Traditional Arabic" w:hint="cs"/>
          <w:color w:val="000000" w:themeColor="text1"/>
          <w:sz w:val="36"/>
          <w:szCs w:val="36"/>
          <w:rtl/>
          <w:lang w:bidi="ar-DZ"/>
        </w:rPr>
        <w:t>الغاية الأولى من الاستشراق أو التعرف على الشرق الإسلامي عن قرب من طرف المسيحيين في البداية كان من أجل الإطاحة به، وتشويه محاسنه وتحريف مبادئه حيث قاموا ب: "تنظيم الحملات التي استهدفت الإسلام على اعتبار أنّ هزيمة الإسلام انتصار للمسيحية عموما والبابوية خصوصا"</w:t>
      </w:r>
      <w:r>
        <w:rPr>
          <w:rStyle w:val="Appelnotedebasdep"/>
          <w:rFonts w:ascii="Traditional Arabic" w:hAnsi="Traditional Arabic" w:cs="Traditional Arabic"/>
          <w:color w:val="000000" w:themeColor="text1"/>
          <w:sz w:val="36"/>
          <w:szCs w:val="36"/>
          <w:rtl/>
          <w:lang w:bidi="ar-DZ"/>
        </w:rPr>
        <w:footnoteReference w:id="13"/>
      </w:r>
      <w:r w:rsidRPr="009C5C07">
        <w:rPr>
          <w:rFonts w:ascii="Traditional Arabic" w:hAnsi="Traditional Arabic" w:cs="Traditional Arabic" w:hint="cs"/>
          <w:color w:val="000000" w:themeColor="text1"/>
          <w:sz w:val="36"/>
          <w:szCs w:val="36"/>
          <w:rtl/>
          <w:lang w:bidi="ar-DZ"/>
        </w:rPr>
        <w:t xml:space="preserve">. بمعنى الدافع الأول القضاء على الإسلام فعلى حد قول </w:t>
      </w:r>
      <w:r w:rsidRPr="009C5C07">
        <w:rPr>
          <w:rFonts w:ascii="Traditional Arabic" w:hAnsi="Traditional Arabic" w:cs="Traditional Arabic" w:hint="cs"/>
          <w:b/>
          <w:bCs/>
          <w:color w:val="000000" w:themeColor="text1"/>
          <w:sz w:val="36"/>
          <w:szCs w:val="36"/>
          <w:rtl/>
          <w:lang w:bidi="ar-DZ"/>
        </w:rPr>
        <w:t>كايتاني</w:t>
      </w:r>
      <w:r w:rsidRPr="009C5C07">
        <w:rPr>
          <w:rFonts w:ascii="Traditional Arabic" w:hAnsi="Traditional Arabic" w:cs="Traditional Arabic" w:hint="cs"/>
          <w:color w:val="000000" w:themeColor="text1"/>
          <w:sz w:val="36"/>
          <w:szCs w:val="36"/>
          <w:rtl/>
          <w:lang w:bidi="ar-DZ"/>
        </w:rPr>
        <w:t>:"إنما نريد أن يفهم سر المصيبة الإسلامية التي انتزعت من الدين المسيحي ملايين من الأتباع في شتى أنحاء الأرض إنه ليس من الغريب أن يعمل المستشرقون على الحفاظ على دين الأوربيين النصرانيين ولا يكون ذلك إلا من خلال تشويه صورة المسلمين"</w:t>
      </w:r>
      <w:r>
        <w:rPr>
          <w:rStyle w:val="Appelnotedebasdep"/>
          <w:rFonts w:ascii="Traditional Arabic" w:hAnsi="Traditional Arabic" w:cs="Traditional Arabic"/>
          <w:color w:val="000000" w:themeColor="text1"/>
          <w:sz w:val="36"/>
          <w:szCs w:val="36"/>
          <w:rtl/>
          <w:lang w:bidi="ar-DZ"/>
        </w:rPr>
        <w:footnoteReference w:id="14"/>
      </w:r>
      <w:r w:rsidRPr="009C5C07">
        <w:rPr>
          <w:rFonts w:ascii="Traditional Arabic" w:hAnsi="Traditional Arabic" w:cs="Traditional Arabic" w:hint="cs"/>
          <w:color w:val="000000" w:themeColor="text1"/>
          <w:sz w:val="36"/>
          <w:szCs w:val="36"/>
          <w:rtl/>
          <w:lang w:bidi="ar-DZ"/>
        </w:rPr>
        <w:t xml:space="preserve">، فالهدف الأساسي للمستشرقين في بداياتهم كانت ضرب المبادئ </w:t>
      </w:r>
      <w:r w:rsidRPr="009C5C07">
        <w:rPr>
          <w:rFonts w:ascii="Traditional Arabic" w:hAnsi="Traditional Arabic" w:cs="Traditional Arabic" w:hint="cs"/>
          <w:color w:val="000000" w:themeColor="text1"/>
          <w:sz w:val="36"/>
          <w:szCs w:val="36"/>
          <w:rtl/>
          <w:lang w:bidi="ar-DZ"/>
        </w:rPr>
        <w:lastRenderedPageBreak/>
        <w:t>الدينية للإسلام والمسلمين، بغية الحفاظ على مكانتهم خاصة بعد هزيمتهم بعد الحروب الصليبية، فلم ينفع السلاح العسكري فقد استبدل بالوازع الديني.</w:t>
      </w:r>
    </w:p>
    <w:p w:rsidR="00A96BAE" w:rsidRPr="00B94B36" w:rsidRDefault="00A96BAE" w:rsidP="00A96BAE">
      <w:pPr>
        <w:bidi/>
        <w:rPr>
          <w:rFonts w:ascii="Traditional Arabic" w:hAnsi="Traditional Arabic" w:cs="Traditional Arabic"/>
          <w:b/>
          <w:bCs/>
          <w:color w:val="984806" w:themeColor="accent6" w:themeShade="80"/>
          <w:sz w:val="36"/>
          <w:szCs w:val="36"/>
          <w:lang w:bidi="ar-DZ"/>
        </w:rPr>
      </w:pPr>
      <w:r>
        <w:rPr>
          <w:rFonts w:ascii="Traditional Arabic" w:hAnsi="Traditional Arabic" w:cs="Traditional Arabic" w:hint="cs"/>
          <w:b/>
          <w:bCs/>
          <w:color w:val="984806" w:themeColor="accent6" w:themeShade="80"/>
          <w:sz w:val="36"/>
          <w:szCs w:val="36"/>
          <w:rtl/>
          <w:lang w:bidi="ar-DZ"/>
        </w:rPr>
        <w:t xml:space="preserve">2- </w:t>
      </w:r>
      <w:r w:rsidRPr="00B94B36">
        <w:rPr>
          <w:rFonts w:ascii="Traditional Arabic" w:hAnsi="Traditional Arabic" w:cs="Traditional Arabic" w:hint="cs"/>
          <w:b/>
          <w:bCs/>
          <w:color w:val="984806" w:themeColor="accent6" w:themeShade="80"/>
          <w:sz w:val="36"/>
          <w:szCs w:val="36"/>
          <w:rtl/>
          <w:lang w:bidi="ar-DZ"/>
        </w:rPr>
        <w:t>الدافع العلمي:</w:t>
      </w:r>
    </w:p>
    <w:p w:rsidR="00A96BAE" w:rsidRDefault="00A96BAE" w:rsidP="00A96BAE">
      <w:pPr>
        <w:bidi/>
        <w:rPr>
          <w:rFonts w:ascii="Traditional Arabic" w:hAnsi="Traditional Arabic" w:cs="Traditional Arabic"/>
          <w:color w:val="000000" w:themeColor="text1"/>
          <w:sz w:val="36"/>
          <w:szCs w:val="36"/>
          <w:rtl/>
          <w:lang w:bidi="ar-DZ"/>
        </w:rPr>
      </w:pPr>
      <w:r>
        <w:rPr>
          <w:rFonts w:ascii="Traditional Arabic" w:hAnsi="Traditional Arabic" w:cs="Traditional Arabic" w:hint="cs"/>
          <w:b/>
          <w:bCs/>
          <w:color w:val="000000" w:themeColor="text1"/>
          <w:sz w:val="36"/>
          <w:szCs w:val="36"/>
          <w:rtl/>
          <w:lang w:bidi="ar-DZ"/>
        </w:rPr>
        <w:t xml:space="preserve">  </w:t>
      </w:r>
      <w:r w:rsidRPr="009C5C07">
        <w:rPr>
          <w:rFonts w:ascii="Traditional Arabic" w:hAnsi="Traditional Arabic" w:cs="Traditional Arabic" w:hint="cs"/>
          <w:color w:val="000000" w:themeColor="text1"/>
          <w:sz w:val="36"/>
          <w:szCs w:val="36"/>
          <w:rtl/>
          <w:lang w:bidi="ar-DZ"/>
        </w:rPr>
        <w:t>دراسة الشرق من كل جوانبه</w:t>
      </w:r>
      <w:r>
        <w:rPr>
          <w:rFonts w:ascii="Traditional Arabic" w:hAnsi="Traditional Arabic" w:cs="Traditional Arabic" w:hint="cs"/>
          <w:color w:val="000000" w:themeColor="text1"/>
          <w:sz w:val="36"/>
          <w:szCs w:val="36"/>
          <w:rtl/>
          <w:lang w:bidi="ar-DZ"/>
        </w:rPr>
        <w:t xml:space="preserve"> الثقافية والعلمية والساسية والاجتماعية، والتعلم من خلال طباعة كتبهم وترجمة معارفهم كالآثار اللعظيمة الأدبية والفلسفية والعلمية من اللغات الشرقية إلى  اللغات الأوربية المختلفة والتمدرس في مدارسهم وعلى يد مدرسيهم وعلمائهم من أجل نهوض حضاري وعلمي قوي.</w:t>
      </w:r>
    </w:p>
    <w:p w:rsidR="00A96BAE" w:rsidRDefault="00A96BAE" w:rsidP="00A96BAE">
      <w:pPr>
        <w:bidi/>
        <w:rPr>
          <w:rFonts w:ascii="Traditional Arabic" w:hAnsi="Traditional Arabic" w:cs="Traditional Arabic"/>
          <w:color w:val="000000" w:themeColor="text1"/>
          <w:sz w:val="36"/>
          <w:szCs w:val="36"/>
          <w:rtl/>
          <w:lang w:bidi="ar-DZ"/>
        </w:rPr>
      </w:pPr>
    </w:p>
    <w:p w:rsidR="00A96BAE" w:rsidRPr="00B94B36" w:rsidRDefault="00A96BAE" w:rsidP="00A96BAE">
      <w:pPr>
        <w:bidi/>
        <w:rPr>
          <w:rFonts w:ascii="Traditional Arabic" w:hAnsi="Traditional Arabic" w:cs="Traditional Arabic"/>
          <w:b/>
          <w:bCs/>
          <w:color w:val="984806" w:themeColor="accent6" w:themeShade="80"/>
          <w:sz w:val="36"/>
          <w:szCs w:val="36"/>
          <w:lang w:bidi="ar-DZ"/>
        </w:rPr>
      </w:pPr>
      <w:r>
        <w:rPr>
          <w:rFonts w:ascii="Traditional Arabic" w:hAnsi="Traditional Arabic" w:cs="Traditional Arabic" w:hint="cs"/>
          <w:b/>
          <w:bCs/>
          <w:color w:val="984806" w:themeColor="accent6" w:themeShade="80"/>
          <w:sz w:val="36"/>
          <w:szCs w:val="36"/>
          <w:rtl/>
          <w:lang w:bidi="ar-DZ"/>
        </w:rPr>
        <w:t xml:space="preserve">3- </w:t>
      </w:r>
      <w:r w:rsidRPr="00B94B36">
        <w:rPr>
          <w:rFonts w:ascii="Traditional Arabic" w:hAnsi="Traditional Arabic" w:cs="Traditional Arabic" w:hint="cs"/>
          <w:b/>
          <w:bCs/>
          <w:color w:val="984806" w:themeColor="accent6" w:themeShade="80"/>
          <w:sz w:val="36"/>
          <w:szCs w:val="36"/>
          <w:rtl/>
          <w:lang w:bidi="ar-DZ"/>
        </w:rPr>
        <w:t>الدافع الاقتصادي والتجاري:</w:t>
      </w:r>
    </w:p>
    <w:p w:rsidR="00A96BAE" w:rsidRDefault="00A96BAE" w:rsidP="00A96BAE">
      <w:pPr>
        <w:bidi/>
        <w:rPr>
          <w:rFonts w:ascii="Traditional Arabic" w:hAnsi="Traditional Arabic" w:cs="Traditional Arabic"/>
          <w:color w:val="000000" w:themeColor="text1"/>
          <w:sz w:val="36"/>
          <w:szCs w:val="36"/>
          <w:rtl/>
          <w:lang w:bidi="ar-DZ"/>
        </w:rPr>
      </w:pPr>
      <w:r>
        <w:rPr>
          <w:rFonts w:ascii="Traditional Arabic" w:hAnsi="Traditional Arabic" w:cs="Traditional Arabic" w:hint="cs"/>
          <w:b/>
          <w:bCs/>
          <w:color w:val="984806" w:themeColor="accent6" w:themeShade="80"/>
          <w:sz w:val="36"/>
          <w:szCs w:val="36"/>
          <w:rtl/>
          <w:lang w:bidi="ar-DZ"/>
        </w:rPr>
        <w:t xml:space="preserve">  </w:t>
      </w:r>
      <w:r w:rsidRPr="00546013">
        <w:rPr>
          <w:rFonts w:ascii="Traditional Arabic" w:hAnsi="Traditional Arabic" w:cs="Traditional Arabic" w:hint="cs"/>
          <w:color w:val="000000" w:themeColor="text1"/>
          <w:sz w:val="36"/>
          <w:szCs w:val="36"/>
          <w:rtl/>
          <w:lang w:bidi="ar-DZ"/>
        </w:rPr>
        <w:t>عندما</w:t>
      </w:r>
      <w:r>
        <w:rPr>
          <w:rFonts w:ascii="Traditional Arabic" w:hAnsi="Traditional Arabic" w:cs="Traditional Arabic" w:hint="cs"/>
          <w:color w:val="000000" w:themeColor="text1"/>
          <w:sz w:val="36"/>
          <w:szCs w:val="36"/>
          <w:rtl/>
          <w:lang w:bidi="ar-DZ"/>
        </w:rPr>
        <w:t xml:space="preserve"> بدأت أوربا نهضتها العلمية والصناعية والحضارية وكانت في حاجة إلى المواد الأولية الخام لتغذية مصانعها، كما أنهم أصبحوا بحاجة إلى أسواق تجارية لتصريف بضائعهم كان لابد لهم أن يتعرفوا إلى البلاد التي تمتلك الثروات الطبيعية ويمكن أن تكون أسواقا مفتوحة لمنتجاتهم، فكان الشرق الإسلامي والدول الإفريقية والآسيوية هي هذه البلاد فنشطوا في استكشافاتهم الجغرافية ودراساتهم الاجتماعية واللغوية والثقافية وغيرها</w:t>
      </w:r>
      <w:r>
        <w:rPr>
          <w:rStyle w:val="Appelnotedebasdep"/>
          <w:rFonts w:ascii="Traditional Arabic" w:hAnsi="Traditional Arabic" w:cs="Traditional Arabic"/>
          <w:color w:val="000000" w:themeColor="text1"/>
          <w:sz w:val="36"/>
          <w:szCs w:val="36"/>
          <w:rtl/>
          <w:lang w:bidi="ar-DZ"/>
        </w:rPr>
        <w:footnoteReference w:id="15"/>
      </w:r>
      <w:r>
        <w:rPr>
          <w:rFonts w:ascii="Traditional Arabic" w:hAnsi="Traditional Arabic" w:cs="Traditional Arabic" w:hint="cs"/>
          <w:color w:val="000000" w:themeColor="text1"/>
          <w:sz w:val="36"/>
          <w:szCs w:val="36"/>
          <w:rtl/>
          <w:lang w:bidi="ar-DZ"/>
        </w:rPr>
        <w:t>.</w:t>
      </w:r>
    </w:p>
    <w:p w:rsidR="00A96BAE" w:rsidRPr="00B94B36" w:rsidRDefault="00A96BAE" w:rsidP="00A96BAE">
      <w:pPr>
        <w:bidi/>
        <w:rPr>
          <w:rFonts w:ascii="Traditional Arabic" w:hAnsi="Traditional Arabic" w:cs="Traditional Arabic"/>
          <w:b/>
          <w:bCs/>
          <w:color w:val="984806" w:themeColor="accent6" w:themeShade="80"/>
          <w:sz w:val="36"/>
          <w:szCs w:val="36"/>
          <w:lang w:bidi="ar-DZ"/>
        </w:rPr>
      </w:pPr>
      <w:r>
        <w:rPr>
          <w:rFonts w:ascii="Traditional Arabic" w:hAnsi="Traditional Arabic" w:cs="Traditional Arabic" w:hint="cs"/>
          <w:b/>
          <w:bCs/>
          <w:color w:val="984806" w:themeColor="accent6" w:themeShade="80"/>
          <w:sz w:val="36"/>
          <w:szCs w:val="36"/>
          <w:rtl/>
          <w:lang w:bidi="ar-DZ"/>
        </w:rPr>
        <w:t xml:space="preserve">4- </w:t>
      </w:r>
      <w:r w:rsidRPr="00B94B36">
        <w:rPr>
          <w:rFonts w:ascii="Traditional Arabic" w:hAnsi="Traditional Arabic" w:cs="Traditional Arabic" w:hint="cs"/>
          <w:b/>
          <w:bCs/>
          <w:color w:val="984806" w:themeColor="accent6" w:themeShade="80"/>
          <w:sz w:val="36"/>
          <w:szCs w:val="36"/>
          <w:rtl/>
          <w:lang w:bidi="ar-DZ"/>
        </w:rPr>
        <w:t>الدافع الاستعماري:</w:t>
      </w:r>
    </w:p>
    <w:p w:rsidR="00A96BAE" w:rsidRPr="000E4A5C" w:rsidRDefault="00A96BAE" w:rsidP="00A96BAE">
      <w:pPr>
        <w:bidi/>
        <w:rPr>
          <w:rFonts w:ascii="Traditional Arabic" w:hAnsi="Traditional Arabic" w:cs="Traditional Arabic"/>
          <w:color w:val="000000" w:themeColor="text1"/>
          <w:sz w:val="36"/>
          <w:szCs w:val="36"/>
          <w:rtl/>
          <w:lang w:bidi="ar-DZ"/>
        </w:rPr>
      </w:pPr>
      <w:r>
        <w:rPr>
          <w:rFonts w:ascii="Traditional Arabic" w:hAnsi="Traditional Arabic" w:cs="Traditional Arabic" w:hint="cs"/>
          <w:b/>
          <w:bCs/>
          <w:color w:val="984806" w:themeColor="accent6" w:themeShade="80"/>
          <w:sz w:val="36"/>
          <w:szCs w:val="36"/>
          <w:rtl/>
          <w:lang w:bidi="ar-DZ"/>
        </w:rPr>
        <w:t xml:space="preserve">  </w:t>
      </w:r>
      <w:r w:rsidRPr="000E4A5C">
        <w:rPr>
          <w:rFonts w:ascii="Traditional Arabic" w:hAnsi="Traditional Arabic" w:cs="Traditional Arabic" w:hint="cs"/>
          <w:color w:val="000000" w:themeColor="text1"/>
          <w:sz w:val="36"/>
          <w:szCs w:val="36"/>
          <w:rtl/>
          <w:lang w:bidi="ar-DZ"/>
        </w:rPr>
        <w:t>"في الكثير من الأحيان</w:t>
      </w:r>
      <w:r>
        <w:rPr>
          <w:rFonts w:ascii="Traditional Arabic" w:hAnsi="Traditional Arabic" w:cs="Traditional Arabic" w:hint="cs"/>
          <w:color w:val="000000" w:themeColor="text1"/>
          <w:sz w:val="36"/>
          <w:szCs w:val="36"/>
          <w:rtl/>
          <w:lang w:bidi="ar-DZ"/>
        </w:rPr>
        <w:t xml:space="preserve"> كان المستشرقون ملحقين بأجهزة الاستخبارات لسبر أغوار المسلمين"</w:t>
      </w:r>
      <w:r>
        <w:rPr>
          <w:rStyle w:val="Appelnotedebasdep"/>
          <w:rFonts w:ascii="Traditional Arabic" w:hAnsi="Traditional Arabic" w:cs="Traditional Arabic"/>
          <w:color w:val="000000" w:themeColor="text1"/>
          <w:sz w:val="36"/>
          <w:szCs w:val="36"/>
          <w:rtl/>
          <w:lang w:bidi="ar-DZ"/>
        </w:rPr>
        <w:footnoteReference w:id="16"/>
      </w:r>
      <w:r>
        <w:rPr>
          <w:rFonts w:ascii="Traditional Arabic" w:hAnsi="Traditional Arabic" w:cs="Traditional Arabic" w:hint="cs"/>
          <w:color w:val="000000" w:themeColor="text1"/>
          <w:sz w:val="36"/>
          <w:szCs w:val="36"/>
          <w:rtl/>
          <w:lang w:bidi="ar-DZ"/>
        </w:rPr>
        <w:t xml:space="preserve">، فالدول الأوروبية كان لها طمع سياسي واقتصادي وعسكري تجاه الشرق، فاتخذوا من الاستشراق وسيلة لتنفيذ مخططاتهم إذ حاولوا ترسيخ مبادئهم وثقافتهم في عقول العرب لإبعادهم عن هويتهم الثّقافية وحضارتهم الشرقية، من أجل السيطرة على ممتلكاتهم وثرواتهم الفكرية والاقتصادية وما إلى ذلك. </w:t>
      </w:r>
    </w:p>
    <w:p w:rsidR="00A96BAE" w:rsidRPr="00B94B36" w:rsidRDefault="00A96BAE" w:rsidP="00A96BAE">
      <w:pPr>
        <w:bidi/>
        <w:rPr>
          <w:rFonts w:ascii="Traditional Arabic" w:hAnsi="Traditional Arabic" w:cs="Traditional Arabic"/>
          <w:b/>
          <w:bCs/>
          <w:color w:val="984806" w:themeColor="accent6" w:themeShade="80"/>
          <w:sz w:val="36"/>
          <w:szCs w:val="36"/>
          <w:lang w:bidi="ar-DZ"/>
        </w:rPr>
      </w:pPr>
      <w:r>
        <w:rPr>
          <w:rFonts w:ascii="Traditional Arabic" w:hAnsi="Traditional Arabic" w:cs="Traditional Arabic" w:hint="cs"/>
          <w:b/>
          <w:bCs/>
          <w:color w:val="984806" w:themeColor="accent6" w:themeShade="80"/>
          <w:sz w:val="36"/>
          <w:szCs w:val="36"/>
          <w:rtl/>
          <w:lang w:bidi="ar-DZ"/>
        </w:rPr>
        <w:lastRenderedPageBreak/>
        <w:t xml:space="preserve">5- </w:t>
      </w:r>
      <w:r w:rsidRPr="00B94B36">
        <w:rPr>
          <w:rFonts w:ascii="Traditional Arabic" w:hAnsi="Traditional Arabic" w:cs="Traditional Arabic" w:hint="cs"/>
          <w:b/>
          <w:bCs/>
          <w:color w:val="984806" w:themeColor="accent6" w:themeShade="80"/>
          <w:sz w:val="36"/>
          <w:szCs w:val="36"/>
          <w:rtl/>
          <w:lang w:bidi="ar-DZ"/>
        </w:rPr>
        <w:t>الدافع الثقافي:</w:t>
      </w:r>
    </w:p>
    <w:p w:rsidR="00A96BAE" w:rsidRDefault="00A96BAE" w:rsidP="00A96BAE">
      <w:pPr>
        <w:bidi/>
        <w:rPr>
          <w:rFonts w:ascii="Traditional Arabic" w:hAnsi="Traditional Arabic" w:cs="Traditional Arabic"/>
          <w:color w:val="000000" w:themeColor="text1"/>
          <w:sz w:val="36"/>
          <w:szCs w:val="36"/>
          <w:rtl/>
          <w:lang w:bidi="ar-DZ"/>
        </w:rPr>
      </w:pPr>
      <w:r>
        <w:rPr>
          <w:rFonts w:ascii="Traditional Arabic" w:hAnsi="Traditional Arabic" w:cs="Traditional Arabic" w:hint="cs"/>
          <w:b/>
          <w:bCs/>
          <w:color w:val="984806" w:themeColor="accent6" w:themeShade="80"/>
          <w:sz w:val="36"/>
          <w:szCs w:val="36"/>
          <w:rtl/>
          <w:lang w:bidi="ar-DZ"/>
        </w:rPr>
        <w:t xml:space="preserve">  </w:t>
      </w:r>
      <w:r w:rsidRPr="002E5220">
        <w:rPr>
          <w:rFonts w:ascii="Traditional Arabic" w:hAnsi="Traditional Arabic" w:cs="Traditional Arabic" w:hint="cs"/>
          <w:color w:val="000000" w:themeColor="text1"/>
          <w:sz w:val="36"/>
          <w:szCs w:val="36"/>
          <w:rtl/>
          <w:lang w:bidi="ar-DZ"/>
        </w:rPr>
        <w:t>حيث تمثل في الغ</w:t>
      </w:r>
      <w:r>
        <w:rPr>
          <w:rFonts w:ascii="Traditional Arabic" w:hAnsi="Traditional Arabic" w:cs="Traditional Arabic" w:hint="cs"/>
          <w:color w:val="000000" w:themeColor="text1"/>
          <w:sz w:val="36"/>
          <w:szCs w:val="36"/>
          <w:rtl/>
          <w:lang w:bidi="ar-DZ"/>
        </w:rPr>
        <w:t>زو الثقافي الغربي للعالم الإسلامي، من مختلف الجوانب كنشر ثقافتهم عن طريق التواصل الإجتماعي ووسائل الإعلام المختلفة، كما أنّ الغرب أسس مؤسسات علمية ومعاهد ثقافية في أرض الإسلام عن طريق الاستعمار من أجل نشر ثقافته وترسيخ لغته وحتى فرض مناهج تعليمية على المؤسسات التربوية على أساس أنها الأنجع والأمثل في التدريس، لكن الهدف الأساسي منها صبغ البلاد العربية بطابع ثقافي غربي.</w:t>
      </w:r>
    </w:p>
    <w:p w:rsidR="00A96BAE" w:rsidRPr="002E5220" w:rsidRDefault="00A96BAE" w:rsidP="00A96BAE">
      <w:pPr>
        <w:bidi/>
        <w:ind w:left="450"/>
        <w:rPr>
          <w:rFonts w:ascii="Traditional Arabic" w:hAnsi="Traditional Arabic" w:cs="Traditional Arabic"/>
          <w:color w:val="000000" w:themeColor="text1"/>
          <w:sz w:val="36"/>
          <w:szCs w:val="36"/>
          <w:lang w:bidi="ar-DZ"/>
        </w:rPr>
      </w:pPr>
    </w:p>
    <w:p w:rsidR="00A96BAE" w:rsidRPr="00B94B36" w:rsidRDefault="00A96BAE" w:rsidP="00A96BAE">
      <w:pPr>
        <w:bidi/>
        <w:rPr>
          <w:rFonts w:ascii="Traditional Arabic" w:hAnsi="Traditional Arabic" w:cs="Traditional Arabic"/>
          <w:color w:val="000000" w:themeColor="text1"/>
          <w:sz w:val="36"/>
          <w:szCs w:val="36"/>
          <w:lang w:bidi="ar-DZ"/>
        </w:rPr>
      </w:pPr>
    </w:p>
    <w:p w:rsidR="00A96BAE" w:rsidRDefault="00A96BAE" w:rsidP="00A96BAE">
      <w:pPr>
        <w:bidi/>
        <w:rPr>
          <w:rFonts w:ascii="Traditional Arabic" w:hAnsi="Traditional Arabic" w:cs="Traditional Arabic"/>
          <w:color w:val="000000" w:themeColor="text1"/>
          <w:sz w:val="36"/>
          <w:szCs w:val="36"/>
          <w:rtl/>
          <w:lang w:bidi="ar-DZ"/>
        </w:rPr>
      </w:pPr>
    </w:p>
    <w:p w:rsidR="00A96BAE" w:rsidRDefault="00A96BAE" w:rsidP="00A96BAE">
      <w:pPr>
        <w:bidi/>
        <w:rPr>
          <w:rFonts w:ascii="Traditional Arabic" w:hAnsi="Traditional Arabic" w:cs="Traditional Arabic"/>
          <w:color w:val="000000" w:themeColor="text1"/>
          <w:sz w:val="36"/>
          <w:szCs w:val="36"/>
          <w:rtl/>
          <w:lang w:bidi="ar-DZ"/>
        </w:rPr>
      </w:pPr>
    </w:p>
    <w:p w:rsidR="00A96BAE" w:rsidRPr="001D4F50" w:rsidRDefault="00A96BAE" w:rsidP="00A96BAE">
      <w:pPr>
        <w:bidi/>
        <w:rPr>
          <w:rFonts w:ascii="Traditional Arabic" w:hAnsi="Traditional Arabic" w:cs="Traditional Arabic"/>
          <w:sz w:val="36"/>
          <w:szCs w:val="36"/>
          <w:lang w:bidi="ar-DZ"/>
        </w:rPr>
      </w:pPr>
    </w:p>
    <w:p w:rsidR="00A96BAE" w:rsidRDefault="00A96BAE" w:rsidP="00A96BAE">
      <w:pPr>
        <w:bidi/>
        <w:rPr>
          <w:rFonts w:ascii="Traditional Arabic" w:hAnsi="Traditional Arabic" w:cs="Traditional Arabic"/>
          <w:color w:val="000000" w:themeColor="text1"/>
          <w:sz w:val="36"/>
          <w:szCs w:val="36"/>
          <w:rtl/>
          <w:lang w:bidi="ar-DZ"/>
        </w:rPr>
      </w:pPr>
      <w:r>
        <w:rPr>
          <w:rFonts w:ascii="Traditional Arabic" w:hAnsi="Traditional Arabic" w:cs="Traditional Arabic"/>
          <w:color w:val="000000" w:themeColor="text1"/>
          <w:sz w:val="36"/>
          <w:szCs w:val="36"/>
          <w:lang w:bidi="ar-DZ"/>
        </w:rPr>
        <w:t xml:space="preserve"> </w:t>
      </w:r>
    </w:p>
    <w:p w:rsidR="009A37A0" w:rsidRDefault="009A37A0" w:rsidP="009A37A0">
      <w:pPr>
        <w:bidi/>
        <w:rPr>
          <w:rFonts w:ascii="Traditional Arabic" w:hAnsi="Traditional Arabic" w:cs="Traditional Arabic"/>
          <w:color w:val="000000" w:themeColor="text1"/>
          <w:sz w:val="36"/>
          <w:szCs w:val="36"/>
          <w:rtl/>
          <w:lang w:bidi="ar-DZ"/>
        </w:rPr>
      </w:pPr>
    </w:p>
    <w:p w:rsidR="009A37A0" w:rsidRDefault="009A37A0" w:rsidP="009A37A0">
      <w:pPr>
        <w:bidi/>
        <w:rPr>
          <w:rFonts w:ascii="Traditional Arabic" w:hAnsi="Traditional Arabic" w:cs="Traditional Arabic"/>
          <w:color w:val="000000" w:themeColor="text1"/>
          <w:sz w:val="36"/>
          <w:szCs w:val="36"/>
          <w:rtl/>
          <w:lang w:bidi="ar-DZ"/>
        </w:rPr>
      </w:pPr>
    </w:p>
    <w:p w:rsidR="009A37A0" w:rsidRDefault="009A37A0" w:rsidP="009A37A0">
      <w:pPr>
        <w:bidi/>
        <w:rPr>
          <w:rFonts w:ascii="Traditional Arabic" w:hAnsi="Traditional Arabic" w:cs="Traditional Arabic"/>
          <w:color w:val="000000" w:themeColor="text1"/>
          <w:sz w:val="36"/>
          <w:szCs w:val="36"/>
          <w:rtl/>
          <w:lang w:bidi="ar-DZ"/>
        </w:rPr>
      </w:pPr>
    </w:p>
    <w:p w:rsidR="009A37A0" w:rsidRDefault="009A37A0" w:rsidP="009A37A0">
      <w:pPr>
        <w:bidi/>
        <w:rPr>
          <w:rFonts w:ascii="Traditional Arabic" w:hAnsi="Traditional Arabic" w:cs="Traditional Arabic"/>
          <w:color w:val="000000" w:themeColor="text1"/>
          <w:sz w:val="36"/>
          <w:szCs w:val="36"/>
          <w:rtl/>
          <w:lang w:bidi="ar-DZ"/>
        </w:rPr>
      </w:pPr>
    </w:p>
    <w:p w:rsidR="009A37A0" w:rsidRDefault="009A37A0" w:rsidP="009A37A0">
      <w:pPr>
        <w:bidi/>
        <w:rPr>
          <w:rFonts w:ascii="Traditional Arabic" w:hAnsi="Traditional Arabic" w:cs="Traditional Arabic"/>
          <w:color w:val="000000" w:themeColor="text1"/>
          <w:sz w:val="36"/>
          <w:szCs w:val="36"/>
          <w:rtl/>
          <w:lang w:bidi="ar-DZ"/>
        </w:rPr>
      </w:pPr>
    </w:p>
    <w:p w:rsidR="00A12222" w:rsidRPr="00E00CF2" w:rsidRDefault="00A12222" w:rsidP="00E024E8">
      <w:pPr>
        <w:bidi/>
        <w:rPr>
          <w:rFonts w:ascii="Traditional Arabic" w:hAnsi="Traditional Arabic" w:cs="Traditional Arabic"/>
          <w:sz w:val="36"/>
          <w:szCs w:val="36"/>
          <w:rtl/>
          <w:lang w:bidi="ar-DZ"/>
        </w:rPr>
      </w:pPr>
      <w:r w:rsidRPr="00E00CF2">
        <w:rPr>
          <w:rFonts w:ascii="Traditional Arabic" w:hAnsi="Traditional Arabic" w:cs="Traditional Arabic" w:hint="cs"/>
          <w:sz w:val="36"/>
          <w:szCs w:val="36"/>
          <w:rtl/>
          <w:lang w:bidi="ar-DZ"/>
        </w:rPr>
        <w:t xml:space="preserve"> </w:t>
      </w:r>
    </w:p>
    <w:p w:rsidR="00C24F6D" w:rsidRPr="00C24F6D" w:rsidRDefault="00C24F6D" w:rsidP="00C24F6D">
      <w:pPr>
        <w:bidi/>
        <w:spacing w:line="276" w:lineRule="auto"/>
        <w:rPr>
          <w:rFonts w:ascii="Traditional Arabic" w:hAnsi="Traditional Arabic" w:cs="Traditional Arabic"/>
          <w:b/>
          <w:bCs/>
          <w:sz w:val="36"/>
          <w:szCs w:val="36"/>
          <w:rtl/>
          <w:lang w:bidi="ar-DZ"/>
        </w:rPr>
      </w:pPr>
    </w:p>
    <w:sectPr w:rsidR="00C24F6D" w:rsidRPr="00C24F6D" w:rsidSect="00A160BC">
      <w:footerReference w:type="default" r:id="rId8"/>
      <w:pgSz w:w="11906" w:h="16838"/>
      <w:pgMar w:top="1417" w:right="1417" w:bottom="1417" w:left="1417" w:header="708" w:footer="708" w:gutter="0"/>
      <w:pgBorders w:offsetFrom="page">
        <w:top w:val="single" w:sz="18" w:space="24" w:color="FFFFFF" w:themeColor="background1"/>
        <w:left w:val="single" w:sz="18" w:space="24" w:color="FFFFFF" w:themeColor="background1"/>
        <w:bottom w:val="single" w:sz="18" w:space="24" w:color="FFFFFF" w:themeColor="background1"/>
        <w:right w:val="single" w:sz="18" w:space="24" w:color="FFFFFF" w:themeColor="background1"/>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0884" w:rsidRDefault="00610884" w:rsidP="00D96845">
      <w:pPr>
        <w:spacing w:after="0"/>
      </w:pPr>
      <w:r>
        <w:separator/>
      </w:r>
    </w:p>
  </w:endnote>
  <w:endnote w:type="continuationSeparator" w:id="1">
    <w:p w:rsidR="00610884" w:rsidRDefault="00610884" w:rsidP="00D9684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84983"/>
      <w:docPartObj>
        <w:docPartGallery w:val="Page Numbers (Bottom of Page)"/>
        <w:docPartUnique/>
      </w:docPartObj>
    </w:sdtPr>
    <w:sdtContent>
      <w:p w:rsidR="00EE5ADD" w:rsidRDefault="00956718">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6145" type="#_x0000_t65" style="position:absolute;left:0;text-align:left;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6145">
                <w:txbxContent>
                  <w:p w:rsidR="00EE5ADD" w:rsidRPr="00EE5ADD" w:rsidRDefault="00956718">
                    <w:pPr>
                      <w:jc w:val="center"/>
                      <w:rPr>
                        <w:rFonts w:ascii="Traditional Arabic" w:hAnsi="Traditional Arabic" w:cs="Traditional Arabic"/>
                        <w:b/>
                        <w:bCs/>
                      </w:rPr>
                    </w:pPr>
                    <w:r w:rsidRPr="00EE5ADD">
                      <w:rPr>
                        <w:rFonts w:ascii="Traditional Arabic" w:hAnsi="Traditional Arabic" w:cs="Traditional Arabic"/>
                        <w:b/>
                        <w:bCs/>
                      </w:rPr>
                      <w:fldChar w:fldCharType="begin"/>
                    </w:r>
                    <w:r w:rsidR="00EE5ADD" w:rsidRPr="00EE5ADD">
                      <w:rPr>
                        <w:rFonts w:ascii="Traditional Arabic" w:hAnsi="Traditional Arabic" w:cs="Traditional Arabic"/>
                        <w:b/>
                        <w:bCs/>
                      </w:rPr>
                      <w:instrText xml:space="preserve"> PAGE    \* MERGEFORMAT </w:instrText>
                    </w:r>
                    <w:r w:rsidRPr="00EE5ADD">
                      <w:rPr>
                        <w:rFonts w:ascii="Traditional Arabic" w:hAnsi="Traditional Arabic" w:cs="Traditional Arabic"/>
                        <w:b/>
                        <w:bCs/>
                      </w:rPr>
                      <w:fldChar w:fldCharType="separate"/>
                    </w:r>
                    <w:r w:rsidR="00A160BC">
                      <w:rPr>
                        <w:rFonts w:ascii="Traditional Arabic" w:hAnsi="Traditional Arabic" w:cs="Traditional Arabic"/>
                        <w:b/>
                        <w:bCs/>
                        <w:noProof/>
                      </w:rPr>
                      <w:t>6</w:t>
                    </w:r>
                    <w:r w:rsidRPr="00EE5ADD">
                      <w:rPr>
                        <w:rFonts w:ascii="Traditional Arabic" w:hAnsi="Traditional Arabic" w:cs="Traditional Arabic"/>
                        <w:b/>
                        <w:bCs/>
                      </w:rPr>
                      <w:fldChar w:fldCharType="end"/>
                    </w:r>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0884" w:rsidRDefault="00610884" w:rsidP="00D96845">
      <w:pPr>
        <w:bidi/>
        <w:spacing w:after="0"/>
      </w:pPr>
      <w:r>
        <w:separator/>
      </w:r>
    </w:p>
  </w:footnote>
  <w:footnote w:type="continuationSeparator" w:id="1">
    <w:p w:rsidR="00610884" w:rsidRDefault="00610884" w:rsidP="00D96845">
      <w:pPr>
        <w:spacing w:after="0"/>
      </w:pPr>
      <w:r>
        <w:continuationSeparator/>
      </w:r>
    </w:p>
  </w:footnote>
  <w:footnote w:id="2">
    <w:p w:rsidR="00A12222" w:rsidRPr="00A12222" w:rsidRDefault="00A12222" w:rsidP="00A12222">
      <w:pPr>
        <w:pStyle w:val="Notedebasdepage"/>
        <w:bidi/>
        <w:rPr>
          <w:rFonts w:ascii="Traditional Arabic" w:hAnsi="Traditional Arabic" w:cs="Traditional Arabic"/>
          <w:sz w:val="32"/>
          <w:szCs w:val="32"/>
          <w:rtl/>
          <w:lang w:bidi="ar-DZ"/>
        </w:rPr>
      </w:pPr>
      <w:r w:rsidRPr="00A12222">
        <w:rPr>
          <w:rStyle w:val="Appelnotedebasdep"/>
          <w:rFonts w:ascii="Traditional Arabic" w:hAnsi="Traditional Arabic" w:cs="Traditional Arabic"/>
          <w:sz w:val="32"/>
          <w:szCs w:val="32"/>
        </w:rPr>
        <w:footnoteRef/>
      </w:r>
      <w:r w:rsidRPr="00A12222">
        <w:rPr>
          <w:rFonts w:ascii="Traditional Arabic" w:hAnsi="Traditional Arabic" w:cs="Traditional Arabic"/>
          <w:sz w:val="32"/>
          <w:szCs w:val="32"/>
        </w:rPr>
        <w:t xml:space="preserve"> </w:t>
      </w:r>
      <w:r w:rsidRPr="00A12222">
        <w:rPr>
          <w:rFonts w:ascii="Traditional Arabic" w:hAnsi="Traditional Arabic" w:cs="Traditional Arabic"/>
          <w:sz w:val="32"/>
          <w:szCs w:val="32"/>
          <w:rtl/>
          <w:lang w:bidi="ar-DZ"/>
        </w:rPr>
        <w:t>- ابن منظور، لسان العرب، باب الشين.</w:t>
      </w:r>
    </w:p>
  </w:footnote>
  <w:footnote w:id="3">
    <w:p w:rsidR="00A12222" w:rsidRDefault="00A12222" w:rsidP="00A12222">
      <w:pPr>
        <w:pStyle w:val="Notedebasdepage"/>
        <w:bidi/>
        <w:rPr>
          <w:rtl/>
          <w:lang w:bidi="ar-DZ"/>
        </w:rPr>
      </w:pPr>
      <w:r w:rsidRPr="00A12222">
        <w:rPr>
          <w:rStyle w:val="Appelnotedebasdep"/>
          <w:rFonts w:ascii="Traditional Arabic" w:hAnsi="Traditional Arabic" w:cs="Traditional Arabic"/>
          <w:sz w:val="32"/>
          <w:szCs w:val="32"/>
        </w:rPr>
        <w:footnoteRef/>
      </w:r>
      <w:r w:rsidRPr="00A12222">
        <w:rPr>
          <w:rFonts w:ascii="Traditional Arabic" w:hAnsi="Traditional Arabic" w:cs="Traditional Arabic"/>
          <w:sz w:val="32"/>
          <w:szCs w:val="32"/>
        </w:rPr>
        <w:t xml:space="preserve"> </w:t>
      </w:r>
      <w:r w:rsidRPr="00A12222">
        <w:rPr>
          <w:rFonts w:ascii="Traditional Arabic" w:hAnsi="Traditional Arabic" w:cs="Traditional Arabic"/>
          <w:sz w:val="32"/>
          <w:szCs w:val="32"/>
          <w:rtl/>
          <w:lang w:bidi="ar-DZ"/>
        </w:rPr>
        <w:t>- محمد حمدي، مرشد الطلاب، ص 25.</w:t>
      </w:r>
    </w:p>
  </w:footnote>
  <w:footnote w:id="4">
    <w:p w:rsidR="00E00CF2" w:rsidRPr="00E00CF2" w:rsidRDefault="00E00CF2" w:rsidP="00E00CF2">
      <w:pPr>
        <w:pStyle w:val="Notedebasdepage"/>
        <w:bidi/>
        <w:rPr>
          <w:rFonts w:ascii="Traditional Arabic" w:hAnsi="Traditional Arabic" w:cs="Traditional Arabic"/>
          <w:sz w:val="32"/>
          <w:szCs w:val="32"/>
          <w:rtl/>
          <w:lang w:bidi="ar-DZ"/>
        </w:rPr>
      </w:pPr>
      <w:r w:rsidRPr="00E00CF2">
        <w:rPr>
          <w:rStyle w:val="Appelnotedebasdep"/>
          <w:rFonts w:ascii="Traditional Arabic" w:hAnsi="Traditional Arabic" w:cs="Traditional Arabic"/>
          <w:sz w:val="32"/>
          <w:szCs w:val="32"/>
        </w:rPr>
        <w:footnoteRef/>
      </w:r>
      <w:r w:rsidRPr="00E00CF2">
        <w:rPr>
          <w:rFonts w:ascii="Traditional Arabic" w:hAnsi="Traditional Arabic" w:cs="Traditional Arabic"/>
          <w:sz w:val="32"/>
          <w:szCs w:val="32"/>
        </w:rPr>
        <w:t xml:space="preserve"> </w:t>
      </w:r>
      <w:r w:rsidRPr="00E00CF2">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فاروق عمر فوزي، الاستشراق والتاريخ الإسلامي، ص 29.</w:t>
      </w:r>
    </w:p>
  </w:footnote>
  <w:footnote w:id="5">
    <w:p w:rsidR="00706747" w:rsidRPr="00706747" w:rsidRDefault="00706747" w:rsidP="00706747">
      <w:pPr>
        <w:pStyle w:val="Notedebasdepage"/>
        <w:bidi/>
        <w:rPr>
          <w:rFonts w:ascii="Traditional Arabic" w:hAnsi="Traditional Arabic" w:cs="Traditional Arabic"/>
          <w:sz w:val="32"/>
          <w:szCs w:val="32"/>
          <w:rtl/>
          <w:lang w:bidi="ar-DZ"/>
        </w:rPr>
      </w:pPr>
      <w:r w:rsidRPr="00706747">
        <w:rPr>
          <w:rStyle w:val="Appelnotedebasdep"/>
          <w:rFonts w:ascii="Traditional Arabic" w:hAnsi="Traditional Arabic" w:cs="Traditional Arabic"/>
          <w:sz w:val="32"/>
          <w:szCs w:val="32"/>
        </w:rPr>
        <w:footnoteRef/>
      </w:r>
      <w:r w:rsidRPr="00706747">
        <w:rPr>
          <w:rFonts w:ascii="Traditional Arabic" w:hAnsi="Traditional Arabic" w:cs="Traditional Arabic"/>
          <w:sz w:val="32"/>
          <w:szCs w:val="32"/>
        </w:rPr>
        <w:t xml:space="preserve"> </w:t>
      </w:r>
      <w:r w:rsidRPr="00706747">
        <w:rPr>
          <w:rFonts w:ascii="Traditional Arabic" w:hAnsi="Traditional Arabic" w:cs="Traditional Arabic"/>
          <w:sz w:val="32"/>
          <w:szCs w:val="32"/>
          <w:rtl/>
          <w:lang w:bidi="ar-DZ"/>
        </w:rPr>
        <w:t>- هاشم أبو الحسن علي، ا</w:t>
      </w:r>
      <w:r>
        <w:rPr>
          <w:rFonts w:ascii="Traditional Arabic" w:hAnsi="Traditional Arabic" w:cs="Traditional Arabic"/>
          <w:sz w:val="32"/>
          <w:szCs w:val="32"/>
          <w:rtl/>
          <w:lang w:bidi="ar-DZ"/>
        </w:rPr>
        <w:t>لاستشراق والاستغراب، ص 319، 320</w:t>
      </w:r>
      <w:r>
        <w:rPr>
          <w:rFonts w:ascii="Traditional Arabic" w:hAnsi="Traditional Arabic" w:cs="Traditional Arabic" w:hint="cs"/>
          <w:sz w:val="32"/>
          <w:szCs w:val="32"/>
          <w:rtl/>
          <w:lang w:bidi="ar-DZ"/>
        </w:rPr>
        <w:t>.</w:t>
      </w:r>
      <w:r w:rsidRPr="00706747">
        <w:rPr>
          <w:rFonts w:ascii="Traditional Arabic" w:hAnsi="Traditional Arabic" w:cs="Traditional Arabic"/>
          <w:sz w:val="32"/>
          <w:szCs w:val="32"/>
          <w:rtl/>
          <w:lang w:bidi="ar-DZ"/>
        </w:rPr>
        <w:t xml:space="preserve"> </w:t>
      </w:r>
    </w:p>
  </w:footnote>
  <w:footnote w:id="6">
    <w:p w:rsidR="00A96BAE" w:rsidRPr="00842B74" w:rsidRDefault="00A96BAE" w:rsidP="00A96BAE">
      <w:pPr>
        <w:pStyle w:val="Notedebasdepage"/>
        <w:bidi/>
        <w:rPr>
          <w:rFonts w:ascii="Traditional Arabic" w:hAnsi="Traditional Arabic" w:cs="Traditional Arabic"/>
          <w:sz w:val="32"/>
          <w:szCs w:val="32"/>
          <w:rtl/>
          <w:lang w:bidi="ar-DZ"/>
        </w:rPr>
      </w:pPr>
      <w:r w:rsidRPr="00842B74">
        <w:rPr>
          <w:rStyle w:val="Appelnotedebasdep"/>
          <w:rFonts w:ascii="Traditional Arabic" w:hAnsi="Traditional Arabic" w:cs="Traditional Arabic"/>
          <w:sz w:val="32"/>
          <w:szCs w:val="32"/>
        </w:rPr>
        <w:footnoteRef/>
      </w:r>
      <w:r w:rsidRPr="00842B74">
        <w:rPr>
          <w:rFonts w:ascii="Traditional Arabic" w:hAnsi="Traditional Arabic" w:cs="Traditional Arabic"/>
          <w:sz w:val="32"/>
          <w:szCs w:val="32"/>
        </w:rPr>
        <w:t xml:space="preserve"> </w:t>
      </w:r>
      <w:r>
        <w:rPr>
          <w:rFonts w:ascii="Traditional Arabic" w:hAnsi="Traditional Arabic" w:cs="Traditional Arabic"/>
          <w:sz w:val="32"/>
          <w:szCs w:val="32"/>
          <w:rtl/>
          <w:lang w:bidi="ar-DZ"/>
        </w:rPr>
        <w:t xml:space="preserve">- </w:t>
      </w:r>
      <w:r w:rsidRPr="00706747">
        <w:rPr>
          <w:rFonts w:ascii="Traditional Arabic" w:hAnsi="Traditional Arabic" w:cs="Traditional Arabic"/>
          <w:sz w:val="32"/>
          <w:szCs w:val="32"/>
          <w:rtl/>
          <w:lang w:bidi="ar-DZ"/>
        </w:rPr>
        <w:t>هاشم أبو الحسن علي، ا</w:t>
      </w:r>
      <w:r>
        <w:rPr>
          <w:rFonts w:ascii="Traditional Arabic" w:hAnsi="Traditional Arabic" w:cs="Traditional Arabic"/>
          <w:sz w:val="32"/>
          <w:szCs w:val="32"/>
          <w:rtl/>
          <w:lang w:bidi="ar-DZ"/>
        </w:rPr>
        <w:t>لاستشراق والاستغراب، ص 322.</w:t>
      </w:r>
    </w:p>
  </w:footnote>
  <w:footnote w:id="7">
    <w:p w:rsidR="00A96BAE" w:rsidRPr="00C56523" w:rsidRDefault="00A96BAE" w:rsidP="00A96BAE">
      <w:pPr>
        <w:pStyle w:val="Notedebasdepage"/>
        <w:bidi/>
        <w:rPr>
          <w:rFonts w:ascii="Traditional Arabic" w:hAnsi="Traditional Arabic" w:cs="Traditional Arabic"/>
          <w:sz w:val="32"/>
          <w:szCs w:val="32"/>
          <w:rtl/>
          <w:lang w:bidi="ar-DZ"/>
        </w:rPr>
      </w:pPr>
      <w:r w:rsidRPr="00C56523">
        <w:rPr>
          <w:rStyle w:val="Appelnotedebasdep"/>
          <w:rFonts w:ascii="Traditional Arabic" w:hAnsi="Traditional Arabic" w:cs="Traditional Arabic"/>
          <w:sz w:val="32"/>
          <w:szCs w:val="32"/>
        </w:rPr>
        <w:footnoteRef/>
      </w:r>
      <w:r w:rsidRPr="00C56523">
        <w:rPr>
          <w:rFonts w:ascii="Traditional Arabic" w:hAnsi="Traditional Arabic" w:cs="Traditional Arabic"/>
          <w:sz w:val="32"/>
          <w:szCs w:val="32"/>
        </w:rPr>
        <w:t xml:space="preserve"> </w:t>
      </w:r>
      <w:r w:rsidRPr="00C56523">
        <w:rPr>
          <w:rFonts w:ascii="Traditional Arabic" w:hAnsi="Traditional Arabic" w:cs="Traditional Arabic"/>
          <w:sz w:val="32"/>
          <w:szCs w:val="32"/>
          <w:rtl/>
          <w:lang w:bidi="ar-DZ"/>
        </w:rPr>
        <w:t>- أحمد حسن الزيات، تاريخ الأدب العربي، ص 380.</w:t>
      </w:r>
    </w:p>
  </w:footnote>
  <w:footnote w:id="8">
    <w:p w:rsidR="00A96BAE" w:rsidRPr="00D77CD3" w:rsidRDefault="00A96BAE" w:rsidP="00A96BAE">
      <w:pPr>
        <w:pStyle w:val="Notedebasdepage"/>
        <w:bidi/>
        <w:rPr>
          <w:rFonts w:ascii="Traditional Arabic" w:hAnsi="Traditional Arabic" w:cs="Traditional Arabic"/>
          <w:sz w:val="32"/>
          <w:szCs w:val="32"/>
          <w:rtl/>
          <w:lang w:bidi="ar-DZ"/>
        </w:rPr>
      </w:pPr>
      <w:r w:rsidRPr="00D77CD3">
        <w:rPr>
          <w:rStyle w:val="Appelnotedebasdep"/>
          <w:rFonts w:ascii="Traditional Arabic" w:hAnsi="Traditional Arabic" w:cs="Traditional Arabic"/>
          <w:sz w:val="32"/>
          <w:szCs w:val="32"/>
        </w:rPr>
        <w:footnoteRef/>
      </w:r>
      <w:r w:rsidRPr="00D77CD3">
        <w:rPr>
          <w:rFonts w:ascii="Traditional Arabic" w:hAnsi="Traditional Arabic" w:cs="Traditional Arabic"/>
          <w:sz w:val="32"/>
          <w:szCs w:val="32"/>
        </w:rPr>
        <w:t xml:space="preserve"> </w:t>
      </w:r>
      <w:r w:rsidRPr="00D77CD3">
        <w:rPr>
          <w:rFonts w:ascii="Traditional Arabic" w:hAnsi="Traditional Arabic" w:cs="Traditional Arabic"/>
          <w:sz w:val="32"/>
          <w:szCs w:val="32"/>
          <w:rtl/>
          <w:lang w:bidi="ar-DZ"/>
        </w:rPr>
        <w:t>- إدوارد سعيد الإستشراق، ص 328.</w:t>
      </w:r>
    </w:p>
  </w:footnote>
  <w:footnote w:id="9">
    <w:p w:rsidR="00A96BAE" w:rsidRPr="00B561E9" w:rsidRDefault="00A96BAE" w:rsidP="00A96BAE">
      <w:pPr>
        <w:pStyle w:val="Notedebasdepage"/>
        <w:bidi/>
        <w:rPr>
          <w:rFonts w:ascii="Traditional Arabic" w:hAnsi="Traditional Arabic" w:cs="Traditional Arabic"/>
          <w:sz w:val="32"/>
          <w:szCs w:val="32"/>
          <w:rtl/>
          <w:lang w:bidi="ar-DZ"/>
        </w:rPr>
      </w:pPr>
      <w:r w:rsidRPr="00B561E9">
        <w:rPr>
          <w:rStyle w:val="Appelnotedebasdep"/>
          <w:rFonts w:ascii="Traditional Arabic" w:hAnsi="Traditional Arabic" w:cs="Traditional Arabic"/>
          <w:sz w:val="32"/>
          <w:szCs w:val="32"/>
        </w:rPr>
        <w:footnoteRef/>
      </w:r>
      <w:r w:rsidRPr="00B561E9">
        <w:rPr>
          <w:rFonts w:ascii="Traditional Arabic" w:hAnsi="Traditional Arabic" w:cs="Traditional Arabic"/>
          <w:sz w:val="32"/>
          <w:szCs w:val="32"/>
        </w:rPr>
        <w:t xml:space="preserve"> </w:t>
      </w:r>
      <w:r w:rsidRPr="00B561E9">
        <w:rPr>
          <w:rFonts w:ascii="Traditional Arabic" w:hAnsi="Traditional Arabic" w:cs="Traditional Arabic"/>
          <w:sz w:val="32"/>
          <w:szCs w:val="32"/>
          <w:rtl/>
          <w:lang w:bidi="ar-DZ"/>
        </w:rPr>
        <w:t>- أحمد سمايلوفتش، فلسفة الاستشراق، ص 77-78.</w:t>
      </w:r>
    </w:p>
  </w:footnote>
  <w:footnote w:id="10">
    <w:p w:rsidR="00A96BAE" w:rsidRDefault="00A96BAE" w:rsidP="00A96BAE">
      <w:pPr>
        <w:pStyle w:val="Notedebasdepage"/>
        <w:bidi/>
        <w:rPr>
          <w:rtl/>
          <w:lang w:bidi="ar-DZ"/>
        </w:rPr>
      </w:pPr>
      <w:r w:rsidRPr="001B7837">
        <w:rPr>
          <w:rStyle w:val="Appelnotedebasdep"/>
          <w:rFonts w:ascii="Traditional Arabic" w:hAnsi="Traditional Arabic" w:cs="Traditional Arabic"/>
          <w:sz w:val="32"/>
          <w:szCs w:val="32"/>
        </w:rPr>
        <w:footnoteRef/>
      </w:r>
      <w:r w:rsidRPr="001B7837">
        <w:rPr>
          <w:rFonts w:ascii="Traditional Arabic" w:hAnsi="Traditional Arabic" w:cs="Traditional Arabic"/>
          <w:sz w:val="32"/>
          <w:szCs w:val="32"/>
        </w:rPr>
        <w:t xml:space="preserve"> </w:t>
      </w:r>
      <w:r w:rsidRPr="001B7837">
        <w:rPr>
          <w:rFonts w:ascii="Traditional Arabic" w:hAnsi="Traditional Arabic" w:cs="Traditional Arabic"/>
          <w:sz w:val="32"/>
          <w:szCs w:val="32"/>
          <w:rtl/>
          <w:lang w:bidi="ar-DZ"/>
        </w:rPr>
        <w:t>-  هاشم أبو الحسن علي، الاستشراق والاستغراب، ص 322</w:t>
      </w:r>
      <w:r>
        <w:rPr>
          <w:rFonts w:hint="cs"/>
          <w:rtl/>
          <w:lang w:bidi="ar-DZ"/>
        </w:rPr>
        <w:t>.</w:t>
      </w:r>
    </w:p>
  </w:footnote>
  <w:footnote w:id="11">
    <w:p w:rsidR="00A96BAE" w:rsidRPr="00C44749" w:rsidRDefault="00A96BAE" w:rsidP="00A96BAE">
      <w:pPr>
        <w:pStyle w:val="Notedebasdepage"/>
        <w:bidi/>
        <w:rPr>
          <w:rFonts w:ascii="Traditional Arabic" w:hAnsi="Traditional Arabic" w:cs="Traditional Arabic"/>
          <w:sz w:val="32"/>
          <w:szCs w:val="32"/>
          <w:rtl/>
          <w:lang w:bidi="ar-DZ"/>
        </w:rPr>
      </w:pPr>
      <w:r w:rsidRPr="00C44749">
        <w:rPr>
          <w:rStyle w:val="Appelnotedebasdep"/>
          <w:rFonts w:ascii="Traditional Arabic" w:hAnsi="Traditional Arabic" w:cs="Traditional Arabic"/>
          <w:sz w:val="32"/>
          <w:szCs w:val="32"/>
        </w:rPr>
        <w:footnoteRef/>
      </w:r>
      <w:r w:rsidRPr="00C44749">
        <w:rPr>
          <w:rFonts w:ascii="Traditional Arabic" w:hAnsi="Traditional Arabic" w:cs="Traditional Arabic"/>
          <w:sz w:val="32"/>
          <w:szCs w:val="32"/>
        </w:rPr>
        <w:t xml:space="preserve"> </w:t>
      </w:r>
      <w:r w:rsidRPr="00C44749">
        <w:rPr>
          <w:rFonts w:ascii="Traditional Arabic" w:hAnsi="Traditional Arabic" w:cs="Traditional Arabic"/>
          <w:sz w:val="32"/>
          <w:szCs w:val="32"/>
          <w:rtl/>
          <w:lang w:bidi="ar-DZ"/>
        </w:rPr>
        <w:t>- محمد فاروق، النبهان، الاستشراق تعرفه، مدارسه، وآثاره، ص 18-19.</w:t>
      </w:r>
    </w:p>
  </w:footnote>
  <w:footnote w:id="12">
    <w:p w:rsidR="00A96BAE" w:rsidRPr="00DD774F" w:rsidRDefault="00A96BAE" w:rsidP="00A96BAE">
      <w:pPr>
        <w:pStyle w:val="Notedebasdepage"/>
        <w:bidi/>
        <w:rPr>
          <w:rFonts w:ascii="Traditional Arabic" w:hAnsi="Traditional Arabic" w:cs="Traditional Arabic"/>
          <w:sz w:val="32"/>
          <w:szCs w:val="32"/>
          <w:rtl/>
          <w:lang w:bidi="ar-DZ"/>
        </w:rPr>
      </w:pPr>
      <w:r w:rsidRPr="00DD774F">
        <w:rPr>
          <w:rStyle w:val="Appelnotedebasdep"/>
          <w:rFonts w:ascii="Traditional Arabic" w:hAnsi="Traditional Arabic" w:cs="Traditional Arabic"/>
          <w:sz w:val="32"/>
          <w:szCs w:val="32"/>
        </w:rPr>
        <w:footnoteRef/>
      </w:r>
      <w:r w:rsidRPr="00DD774F">
        <w:rPr>
          <w:rFonts w:ascii="Traditional Arabic" w:hAnsi="Traditional Arabic" w:cs="Traditional Arabic"/>
          <w:sz w:val="32"/>
          <w:szCs w:val="32"/>
        </w:rPr>
        <w:t xml:space="preserve"> </w:t>
      </w:r>
      <w:r w:rsidRPr="00DD774F">
        <w:rPr>
          <w:rFonts w:ascii="Traditional Arabic" w:hAnsi="Traditional Arabic" w:cs="Traditional Arabic"/>
          <w:sz w:val="32"/>
          <w:szCs w:val="32"/>
          <w:rtl/>
          <w:lang w:bidi="ar-DZ"/>
        </w:rPr>
        <w:t>- المرجع نفسه، ص 19.</w:t>
      </w:r>
    </w:p>
  </w:footnote>
  <w:footnote w:id="13">
    <w:p w:rsidR="00A96BAE" w:rsidRPr="00A46253" w:rsidRDefault="00A96BAE" w:rsidP="00A96BAE">
      <w:pPr>
        <w:pStyle w:val="Notedebasdepage"/>
        <w:bidi/>
        <w:rPr>
          <w:rFonts w:ascii="Traditional Arabic" w:hAnsi="Traditional Arabic" w:cs="Traditional Arabic"/>
          <w:sz w:val="32"/>
          <w:szCs w:val="32"/>
          <w:rtl/>
          <w:lang w:bidi="ar-DZ"/>
        </w:rPr>
      </w:pPr>
      <w:r w:rsidRPr="00A46253">
        <w:rPr>
          <w:rStyle w:val="Appelnotedebasdep"/>
          <w:rFonts w:ascii="Traditional Arabic" w:hAnsi="Traditional Arabic" w:cs="Traditional Arabic"/>
          <w:sz w:val="32"/>
          <w:szCs w:val="32"/>
        </w:rPr>
        <w:footnoteRef/>
      </w:r>
      <w:r w:rsidRPr="00A46253">
        <w:rPr>
          <w:rFonts w:ascii="Traditional Arabic" w:hAnsi="Traditional Arabic" w:cs="Traditional Arabic"/>
          <w:sz w:val="32"/>
          <w:szCs w:val="32"/>
        </w:rPr>
        <w:t xml:space="preserve"> </w:t>
      </w:r>
      <w:r w:rsidRPr="00A46253">
        <w:rPr>
          <w:rFonts w:ascii="Traditional Arabic" w:hAnsi="Traditional Arabic" w:cs="Traditional Arabic"/>
          <w:sz w:val="32"/>
          <w:szCs w:val="32"/>
          <w:rtl/>
          <w:lang w:bidi="ar-DZ"/>
        </w:rPr>
        <w:t>- عادل سعيد بشتاوي، الأمة الأندلسية الشهيدة، ص 6.</w:t>
      </w:r>
    </w:p>
  </w:footnote>
  <w:footnote w:id="14">
    <w:p w:rsidR="00A96BAE" w:rsidRPr="00983270" w:rsidRDefault="00A96BAE" w:rsidP="00A96BAE">
      <w:pPr>
        <w:pStyle w:val="Notedebasdepage"/>
        <w:bidi/>
        <w:rPr>
          <w:rFonts w:ascii="Traditional Arabic" w:hAnsi="Traditional Arabic" w:cs="Traditional Arabic"/>
          <w:sz w:val="32"/>
          <w:szCs w:val="32"/>
          <w:rtl/>
          <w:lang w:bidi="ar-DZ"/>
        </w:rPr>
      </w:pPr>
      <w:r w:rsidRPr="00983270">
        <w:rPr>
          <w:rStyle w:val="Appelnotedebasdep"/>
          <w:rFonts w:ascii="Traditional Arabic" w:hAnsi="Traditional Arabic" w:cs="Traditional Arabic"/>
          <w:sz w:val="32"/>
          <w:szCs w:val="32"/>
        </w:rPr>
        <w:footnoteRef/>
      </w:r>
      <w:r w:rsidRPr="00983270">
        <w:rPr>
          <w:rFonts w:ascii="Traditional Arabic" w:hAnsi="Traditional Arabic" w:cs="Traditional Arabic"/>
          <w:sz w:val="32"/>
          <w:szCs w:val="32"/>
        </w:rPr>
        <w:t xml:space="preserve"> </w:t>
      </w:r>
      <w:r w:rsidRPr="00983270">
        <w:rPr>
          <w:rFonts w:ascii="Traditional Arabic" w:hAnsi="Traditional Arabic" w:cs="Traditional Arabic"/>
          <w:sz w:val="32"/>
          <w:szCs w:val="32"/>
          <w:rtl/>
          <w:lang w:bidi="ar-DZ"/>
        </w:rPr>
        <w:t>- محمود حمدي زقزوق، الاستشراق والخلفية الفكرية للصراع الحضاري، ص 30.</w:t>
      </w:r>
    </w:p>
  </w:footnote>
  <w:footnote w:id="15">
    <w:p w:rsidR="00A96BAE" w:rsidRPr="00546013" w:rsidRDefault="00A96BAE" w:rsidP="00A96BAE">
      <w:pPr>
        <w:pStyle w:val="Notedebasdepage"/>
        <w:bidi/>
        <w:rPr>
          <w:rFonts w:ascii="Traditional Arabic" w:hAnsi="Traditional Arabic" w:cs="Traditional Arabic"/>
          <w:sz w:val="32"/>
          <w:szCs w:val="32"/>
          <w:rtl/>
          <w:lang w:bidi="ar-DZ"/>
        </w:rPr>
      </w:pPr>
      <w:r w:rsidRPr="00546013">
        <w:rPr>
          <w:rStyle w:val="Appelnotedebasdep"/>
          <w:rFonts w:ascii="Traditional Arabic" w:hAnsi="Traditional Arabic" w:cs="Traditional Arabic"/>
          <w:sz w:val="32"/>
          <w:szCs w:val="32"/>
        </w:rPr>
        <w:footnoteRef/>
      </w:r>
      <w:r w:rsidRPr="00546013">
        <w:rPr>
          <w:rFonts w:ascii="Traditional Arabic" w:hAnsi="Traditional Arabic" w:cs="Traditional Arabic"/>
          <w:sz w:val="32"/>
          <w:szCs w:val="32"/>
        </w:rPr>
        <w:t xml:space="preserve"> </w:t>
      </w:r>
      <w:r w:rsidRPr="00546013">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هاشم أبو الحسن علي، الاستشراق والاستغراب، ص 323.</w:t>
      </w:r>
    </w:p>
  </w:footnote>
  <w:footnote w:id="16">
    <w:p w:rsidR="00A96BAE" w:rsidRPr="00293746" w:rsidRDefault="00A96BAE" w:rsidP="00A96BAE">
      <w:pPr>
        <w:pStyle w:val="Notedebasdepage"/>
        <w:bidi/>
        <w:rPr>
          <w:rFonts w:ascii="Traditional Arabic" w:hAnsi="Traditional Arabic" w:cs="Traditional Arabic"/>
          <w:sz w:val="32"/>
          <w:szCs w:val="32"/>
          <w:rtl/>
          <w:lang w:bidi="ar-DZ"/>
        </w:rPr>
      </w:pPr>
      <w:r w:rsidRPr="00293746">
        <w:rPr>
          <w:rStyle w:val="Appelnotedebasdep"/>
          <w:rFonts w:ascii="Traditional Arabic" w:hAnsi="Traditional Arabic" w:cs="Traditional Arabic"/>
          <w:sz w:val="32"/>
          <w:szCs w:val="32"/>
        </w:rPr>
        <w:footnoteRef/>
      </w:r>
      <w:r w:rsidRPr="00293746">
        <w:rPr>
          <w:rFonts w:ascii="Traditional Arabic" w:hAnsi="Traditional Arabic" w:cs="Traditional Arabic"/>
          <w:sz w:val="32"/>
          <w:szCs w:val="32"/>
        </w:rPr>
        <w:t xml:space="preserve"> </w:t>
      </w:r>
      <w:r w:rsidRPr="00293746">
        <w:rPr>
          <w:rFonts w:ascii="Traditional Arabic" w:hAnsi="Traditional Arabic" w:cs="Traditional Arabic"/>
          <w:sz w:val="32"/>
          <w:szCs w:val="32"/>
          <w:rtl/>
          <w:lang w:bidi="ar-DZ"/>
        </w:rPr>
        <w:t>- مانع بن حماد الجهني، الموسوعة الميسرة في الأديان والمذاهب والأحزاب المعاصرة، ص 692.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05BEB"/>
    <w:multiLevelType w:val="hybridMultilevel"/>
    <w:tmpl w:val="3D3C79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6934967"/>
    <w:multiLevelType w:val="hybridMultilevel"/>
    <w:tmpl w:val="F57C29D4"/>
    <w:lvl w:ilvl="0" w:tplc="040C0001">
      <w:start w:val="1"/>
      <w:numFmt w:val="bullet"/>
      <w:lvlText w:val=""/>
      <w:lvlJc w:val="left"/>
      <w:pPr>
        <w:ind w:left="810" w:hanging="360"/>
      </w:pPr>
      <w:rPr>
        <w:rFonts w:ascii="Symbol" w:hAnsi="Symbol"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2">
    <w:nsid w:val="1D65614A"/>
    <w:multiLevelType w:val="multilevel"/>
    <w:tmpl w:val="5FCA4770"/>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3">
    <w:nsid w:val="57E11694"/>
    <w:multiLevelType w:val="hybridMultilevel"/>
    <w:tmpl w:val="BA388D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7C953496"/>
    <w:multiLevelType w:val="hybridMultilevel"/>
    <w:tmpl w:val="12B61C34"/>
    <w:lvl w:ilvl="0" w:tplc="416091E8">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1266"/>
    <o:shapelayout v:ext="edit">
      <o:idmap v:ext="edit" data="6"/>
    </o:shapelayout>
  </w:hdrShapeDefaults>
  <w:footnotePr>
    <w:footnote w:id="0"/>
    <w:footnote w:id="1"/>
  </w:footnotePr>
  <w:endnotePr>
    <w:endnote w:id="0"/>
    <w:endnote w:id="1"/>
  </w:endnotePr>
  <w:compat/>
  <w:rsids>
    <w:rsidRoot w:val="00BB69D5"/>
    <w:rsid w:val="000134EE"/>
    <w:rsid w:val="000E4A5C"/>
    <w:rsid w:val="000F382B"/>
    <w:rsid w:val="00115B13"/>
    <w:rsid w:val="001466C6"/>
    <w:rsid w:val="001B7837"/>
    <w:rsid w:val="0020478C"/>
    <w:rsid w:val="00213422"/>
    <w:rsid w:val="00254476"/>
    <w:rsid w:val="00280D62"/>
    <w:rsid w:val="002833C7"/>
    <w:rsid w:val="00293746"/>
    <w:rsid w:val="002C1C27"/>
    <w:rsid w:val="002C71A7"/>
    <w:rsid w:val="002E5220"/>
    <w:rsid w:val="00386775"/>
    <w:rsid w:val="003A7E7C"/>
    <w:rsid w:val="003D3F36"/>
    <w:rsid w:val="003F5AB4"/>
    <w:rsid w:val="00502808"/>
    <w:rsid w:val="00546013"/>
    <w:rsid w:val="0057234A"/>
    <w:rsid w:val="00610884"/>
    <w:rsid w:val="006158C2"/>
    <w:rsid w:val="00660D3F"/>
    <w:rsid w:val="00706747"/>
    <w:rsid w:val="00720E1F"/>
    <w:rsid w:val="007609DD"/>
    <w:rsid w:val="00842B74"/>
    <w:rsid w:val="00851B5C"/>
    <w:rsid w:val="008C647E"/>
    <w:rsid w:val="008D7D59"/>
    <w:rsid w:val="00900EB0"/>
    <w:rsid w:val="009507A8"/>
    <w:rsid w:val="00956718"/>
    <w:rsid w:val="009568E4"/>
    <w:rsid w:val="00983270"/>
    <w:rsid w:val="009A1765"/>
    <w:rsid w:val="009A37A0"/>
    <w:rsid w:val="009C5C07"/>
    <w:rsid w:val="009D413A"/>
    <w:rsid w:val="00A12222"/>
    <w:rsid w:val="00A160BC"/>
    <w:rsid w:val="00A46253"/>
    <w:rsid w:val="00A96BAE"/>
    <w:rsid w:val="00AC5197"/>
    <w:rsid w:val="00AE6C1E"/>
    <w:rsid w:val="00B25825"/>
    <w:rsid w:val="00B561E9"/>
    <w:rsid w:val="00BB3951"/>
    <w:rsid w:val="00BB69D5"/>
    <w:rsid w:val="00BC3602"/>
    <w:rsid w:val="00BE16B2"/>
    <w:rsid w:val="00C24F6D"/>
    <w:rsid w:val="00C44749"/>
    <w:rsid w:val="00C56523"/>
    <w:rsid w:val="00CB301A"/>
    <w:rsid w:val="00D24879"/>
    <w:rsid w:val="00D77CD3"/>
    <w:rsid w:val="00D96845"/>
    <w:rsid w:val="00DD774F"/>
    <w:rsid w:val="00E00CF2"/>
    <w:rsid w:val="00E024E8"/>
    <w:rsid w:val="00E229CB"/>
    <w:rsid w:val="00E230A0"/>
    <w:rsid w:val="00EE5ADD"/>
    <w:rsid w:val="00F15720"/>
    <w:rsid w:val="00FA207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7A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D96845"/>
    <w:pPr>
      <w:spacing w:after="0"/>
    </w:pPr>
    <w:rPr>
      <w:sz w:val="20"/>
      <w:szCs w:val="20"/>
    </w:rPr>
  </w:style>
  <w:style w:type="character" w:customStyle="1" w:styleId="NotedebasdepageCar">
    <w:name w:val="Note de bas de page Car"/>
    <w:basedOn w:val="Policepardfaut"/>
    <w:link w:val="Notedebasdepage"/>
    <w:uiPriority w:val="99"/>
    <w:semiHidden/>
    <w:rsid w:val="00D96845"/>
    <w:rPr>
      <w:sz w:val="20"/>
      <w:szCs w:val="20"/>
    </w:rPr>
  </w:style>
  <w:style w:type="character" w:styleId="Appelnotedebasdep">
    <w:name w:val="footnote reference"/>
    <w:basedOn w:val="Policepardfaut"/>
    <w:uiPriority w:val="99"/>
    <w:semiHidden/>
    <w:unhideWhenUsed/>
    <w:rsid w:val="00D96845"/>
    <w:rPr>
      <w:vertAlign w:val="superscript"/>
    </w:rPr>
  </w:style>
  <w:style w:type="paragraph" w:styleId="Paragraphedeliste">
    <w:name w:val="List Paragraph"/>
    <w:basedOn w:val="Normal"/>
    <w:uiPriority w:val="34"/>
    <w:qFormat/>
    <w:rsid w:val="009568E4"/>
    <w:pPr>
      <w:ind w:left="720"/>
      <w:contextualSpacing/>
    </w:pPr>
  </w:style>
  <w:style w:type="paragraph" w:styleId="En-tte">
    <w:name w:val="header"/>
    <w:basedOn w:val="Normal"/>
    <w:link w:val="En-tteCar"/>
    <w:uiPriority w:val="99"/>
    <w:semiHidden/>
    <w:unhideWhenUsed/>
    <w:rsid w:val="00EE5ADD"/>
    <w:pPr>
      <w:tabs>
        <w:tab w:val="center" w:pos="4536"/>
        <w:tab w:val="right" w:pos="9072"/>
      </w:tabs>
      <w:spacing w:after="0"/>
    </w:pPr>
  </w:style>
  <w:style w:type="character" w:customStyle="1" w:styleId="En-tteCar">
    <w:name w:val="En-tête Car"/>
    <w:basedOn w:val="Policepardfaut"/>
    <w:link w:val="En-tte"/>
    <w:uiPriority w:val="99"/>
    <w:semiHidden/>
    <w:rsid w:val="00EE5ADD"/>
  </w:style>
  <w:style w:type="paragraph" w:styleId="Pieddepage">
    <w:name w:val="footer"/>
    <w:basedOn w:val="Normal"/>
    <w:link w:val="PieddepageCar"/>
    <w:uiPriority w:val="99"/>
    <w:semiHidden/>
    <w:unhideWhenUsed/>
    <w:rsid w:val="00EE5ADD"/>
    <w:pPr>
      <w:tabs>
        <w:tab w:val="center" w:pos="4536"/>
        <w:tab w:val="right" w:pos="9072"/>
      </w:tabs>
      <w:spacing w:after="0"/>
    </w:pPr>
  </w:style>
  <w:style w:type="character" w:customStyle="1" w:styleId="PieddepageCar">
    <w:name w:val="Pied de page Car"/>
    <w:basedOn w:val="Policepardfaut"/>
    <w:link w:val="Pieddepage"/>
    <w:uiPriority w:val="99"/>
    <w:semiHidden/>
    <w:rsid w:val="00EE5AD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0937E-9318-476F-83EC-27527695F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6</Pages>
  <Words>1229</Words>
  <Characters>6764</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Sara</cp:lastModifiedBy>
  <cp:revision>28</cp:revision>
  <dcterms:created xsi:type="dcterms:W3CDTF">2024-11-25T12:14:00Z</dcterms:created>
  <dcterms:modified xsi:type="dcterms:W3CDTF">2026-02-11T14:34:00Z</dcterms:modified>
</cp:coreProperties>
</file>