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3F853CD" w14:textId="77777777" w:rsidR="008F0FEA" w:rsidRDefault="008F0FEA" w:rsidP="008F0FEA">
      <w:pPr>
        <w:jc w:val="mediumKashida"/>
        <w:rPr>
          <w:rFonts w:ascii="Simplified Arabic" w:hAnsi="Simplified Arabic" w:cs="Simplified Arabic" w:hint="cs"/>
          <w:b/>
          <w:bCs/>
          <w:sz w:val="32"/>
          <w:szCs w:val="32"/>
          <w:rtl/>
          <w:lang w:val="fr-FR" w:bidi="ar-TN"/>
        </w:rPr>
      </w:pPr>
      <w:r>
        <w:rPr>
          <w:rFonts w:ascii="Simplified Arabic" w:hAnsi="Simplified Arabic" w:cs="Simplified Arabic" w:hint="cs"/>
          <w:b/>
          <w:bCs/>
          <w:sz w:val="32"/>
          <w:szCs w:val="32"/>
          <w:rtl/>
          <w:lang w:val="fr-FR" w:bidi="ar-TN"/>
        </w:rPr>
        <w:t>المحاضرة الخامسة عشر-تداخل الأجناس الأدبية: السيرة الأدبية، الرحلة</w:t>
      </w:r>
    </w:p>
    <w:p w14:paraId="18B3C83A" w14:textId="77777777" w:rsidR="008F0FEA" w:rsidRDefault="008F0FEA" w:rsidP="008F0FEA">
      <w:pPr>
        <w:jc w:val="mediumKashida"/>
        <w:rPr>
          <w:rFonts w:ascii="Simplified Arabic" w:hAnsi="Simplified Arabic" w:cs="Simplified Arabic"/>
          <w:sz w:val="32"/>
          <w:szCs w:val="32"/>
          <w:rtl/>
          <w:lang w:val="fr-FR" w:bidi="ar-TN"/>
        </w:rPr>
      </w:pPr>
      <w:r w:rsidRPr="005E3917">
        <w:rPr>
          <w:rFonts w:ascii="Simplified Arabic" w:hAnsi="Simplified Arabic" w:cs="Simplified Arabic" w:hint="cs"/>
          <w:sz w:val="32"/>
          <w:szCs w:val="32"/>
          <w:rtl/>
          <w:lang w:val="fr-FR" w:bidi="ar-TN"/>
        </w:rPr>
        <w:t>شهدت الأجناس الأدبية في مرحلة ما بعد الحداثة تداخلا كبيرا أسهم في الانتقال من خارطة الأجناس الكلاسيكية</w:t>
      </w:r>
      <w:r>
        <w:rPr>
          <w:rFonts w:ascii="Simplified Arabic" w:hAnsi="Simplified Arabic" w:cs="Simplified Arabic" w:hint="cs"/>
          <w:sz w:val="32"/>
          <w:szCs w:val="32"/>
          <w:rtl/>
          <w:lang w:val="fr-FR" w:bidi="ar-TN"/>
        </w:rPr>
        <w:t xml:space="preserve"> إلى نماذج أخرى عابرة للحدود، حيث تمت </w:t>
      </w:r>
      <w:r w:rsidRPr="005E3917">
        <w:rPr>
          <w:rFonts w:ascii="Simplified Arabic" w:hAnsi="Simplified Arabic" w:cs="Simplified Arabic" w:hint="cs"/>
          <w:sz w:val="32"/>
          <w:szCs w:val="32"/>
          <w:rtl/>
          <w:lang w:val="fr-FR" w:bidi="ar-TN"/>
        </w:rPr>
        <w:t xml:space="preserve">الاستعاضة </w:t>
      </w:r>
      <w:r>
        <w:rPr>
          <w:rFonts w:ascii="Simplified Arabic" w:hAnsi="Simplified Arabic" w:cs="Simplified Arabic" w:hint="cs"/>
          <w:sz w:val="32"/>
          <w:szCs w:val="32"/>
          <w:rtl/>
          <w:lang w:val="fr-FR" w:bidi="ar-TN"/>
        </w:rPr>
        <w:t>عن جملة الكلاسيكيات المقترنة بالإرث اليوناني ببدائل أخرى</w:t>
      </w:r>
      <w:r w:rsidRPr="005E3917">
        <w:rPr>
          <w:rFonts w:ascii="Simplified Arabic" w:hAnsi="Simplified Arabic" w:cs="Simplified Arabic" w:hint="cs"/>
          <w:sz w:val="32"/>
          <w:szCs w:val="32"/>
          <w:rtl/>
          <w:lang w:val="fr-FR" w:bidi="ar-TN"/>
        </w:rPr>
        <w:t xml:space="preserve"> </w:t>
      </w:r>
      <w:proofErr w:type="spellStart"/>
      <w:r w:rsidRPr="005E3917">
        <w:rPr>
          <w:rFonts w:ascii="Simplified Arabic" w:hAnsi="Simplified Arabic" w:cs="Simplified Arabic" w:hint="cs"/>
          <w:sz w:val="32"/>
          <w:szCs w:val="32"/>
          <w:rtl/>
          <w:lang w:val="fr-FR" w:bidi="ar-TN"/>
        </w:rPr>
        <w:t>تتوائم</w:t>
      </w:r>
      <w:proofErr w:type="spellEnd"/>
      <w:r w:rsidRPr="005E3917">
        <w:rPr>
          <w:rFonts w:ascii="Simplified Arabic" w:hAnsi="Simplified Arabic" w:cs="Simplified Arabic" w:hint="cs"/>
          <w:sz w:val="32"/>
          <w:szCs w:val="32"/>
          <w:rtl/>
          <w:lang w:val="fr-FR" w:bidi="ar-TN"/>
        </w:rPr>
        <w:t xml:space="preserve"> وحركية التسارع الجديد على المستوى الأجناسي والأدبي عامة، وتبرز السيرة الأدبية مع أدب الرحلة في صدارة هذه الأجناس التي تمكنت من تحقيق اندماجها ف</w:t>
      </w:r>
      <w:r>
        <w:rPr>
          <w:rFonts w:ascii="Simplified Arabic" w:hAnsi="Simplified Arabic" w:cs="Simplified Arabic" w:hint="cs"/>
          <w:sz w:val="32"/>
          <w:szCs w:val="32"/>
          <w:rtl/>
          <w:lang w:val="fr-FR" w:bidi="ar-TN"/>
        </w:rPr>
        <w:t>ي</w:t>
      </w:r>
      <w:r w:rsidRPr="005E3917">
        <w:rPr>
          <w:rFonts w:ascii="Simplified Arabic" w:hAnsi="Simplified Arabic" w:cs="Simplified Arabic" w:hint="cs"/>
          <w:sz w:val="32"/>
          <w:szCs w:val="32"/>
          <w:rtl/>
          <w:lang w:val="fr-FR" w:bidi="ar-TN"/>
        </w:rPr>
        <w:t xml:space="preserve"> الحقل الأدبي من خلال </w:t>
      </w:r>
      <w:r>
        <w:rPr>
          <w:rFonts w:ascii="Simplified Arabic" w:hAnsi="Simplified Arabic" w:cs="Simplified Arabic" w:hint="cs"/>
          <w:sz w:val="32"/>
          <w:szCs w:val="32"/>
          <w:rtl/>
          <w:lang w:val="fr-FR" w:bidi="ar-TN"/>
        </w:rPr>
        <w:t xml:space="preserve">تلبسها زي </w:t>
      </w:r>
      <w:r w:rsidRPr="005E3917">
        <w:rPr>
          <w:rFonts w:ascii="Simplified Arabic" w:hAnsi="Simplified Arabic" w:cs="Simplified Arabic" w:hint="cs"/>
          <w:sz w:val="32"/>
          <w:szCs w:val="32"/>
          <w:rtl/>
          <w:lang w:val="fr-FR" w:bidi="ar-TN"/>
        </w:rPr>
        <w:t>الرواية</w:t>
      </w:r>
      <w:r>
        <w:rPr>
          <w:rFonts w:ascii="Simplified Arabic" w:hAnsi="Simplified Arabic" w:cs="Simplified Arabic" w:hint="cs"/>
          <w:sz w:val="32"/>
          <w:szCs w:val="32"/>
          <w:rtl/>
          <w:lang w:val="fr-FR" w:bidi="ar-TN"/>
        </w:rPr>
        <w:t xml:space="preserve"> واندماجها في مقولات هذا الجنس فضلا عن إكسابه سمات أخرى تتوافق وخصوصيتها </w:t>
      </w:r>
      <w:proofErr w:type="spellStart"/>
      <w:r>
        <w:rPr>
          <w:rFonts w:ascii="Simplified Arabic" w:hAnsi="Simplified Arabic" w:cs="Simplified Arabic" w:hint="cs"/>
          <w:sz w:val="32"/>
          <w:szCs w:val="32"/>
          <w:rtl/>
          <w:lang w:val="fr-FR" w:bidi="ar-TN"/>
        </w:rPr>
        <w:t>الأجناسية</w:t>
      </w:r>
      <w:proofErr w:type="spellEnd"/>
      <w:r>
        <w:rPr>
          <w:rFonts w:ascii="Simplified Arabic" w:hAnsi="Simplified Arabic" w:cs="Simplified Arabic" w:hint="cs"/>
          <w:sz w:val="32"/>
          <w:szCs w:val="32"/>
          <w:rtl/>
          <w:lang w:val="fr-FR" w:bidi="ar-TN"/>
        </w:rPr>
        <w:t xml:space="preserve"> قبل تحقيقها عملية الاندماج.</w:t>
      </w:r>
    </w:p>
    <w:p w14:paraId="44150A26" w14:textId="77777777" w:rsidR="008F0FEA" w:rsidRDefault="008F0FEA" w:rsidP="008F0FEA">
      <w:pPr>
        <w:spacing w:before="240" w:after="240" w:line="240" w:lineRule="auto"/>
        <w:jc w:val="mediumKashida"/>
        <w:rPr>
          <w:rFonts w:ascii="Simplified Arabic" w:eastAsia="Times New Roman" w:hAnsi="Simplified Arabic" w:cs="Simplified Arabic"/>
          <w:kern w:val="0"/>
          <w:sz w:val="32"/>
          <w:szCs w:val="32"/>
          <w:rtl/>
          <w:lang w:val="fr-FR" w:eastAsia="fr-FR"/>
          <w14:ligatures w14:val="none"/>
        </w:rPr>
      </w:pPr>
      <w:r>
        <w:rPr>
          <w:rFonts w:ascii="Simplified Arabic" w:eastAsia="Times New Roman" w:hAnsi="Simplified Arabic" w:cs="Simplified Arabic" w:hint="cs"/>
          <w:kern w:val="0"/>
          <w:sz w:val="32"/>
          <w:szCs w:val="32"/>
          <w:rtl/>
          <w:lang w:val="fr-FR" w:eastAsia="fr-FR"/>
          <w14:ligatures w14:val="none"/>
        </w:rPr>
        <w:t xml:space="preserve">إن ما يسم الحدود </w:t>
      </w:r>
      <w:proofErr w:type="spellStart"/>
      <w:r>
        <w:rPr>
          <w:rFonts w:ascii="Simplified Arabic" w:eastAsia="Times New Roman" w:hAnsi="Simplified Arabic" w:cs="Simplified Arabic" w:hint="cs"/>
          <w:kern w:val="0"/>
          <w:sz w:val="32"/>
          <w:szCs w:val="32"/>
          <w:rtl/>
          <w:lang w:val="fr-FR" w:eastAsia="fr-FR"/>
          <w14:ligatures w14:val="none"/>
        </w:rPr>
        <w:t>الأجناسية</w:t>
      </w:r>
      <w:proofErr w:type="spellEnd"/>
      <w:r>
        <w:rPr>
          <w:rFonts w:ascii="Simplified Arabic" w:eastAsia="Times New Roman" w:hAnsi="Simplified Arabic" w:cs="Simplified Arabic" w:hint="cs"/>
          <w:kern w:val="0"/>
          <w:sz w:val="32"/>
          <w:szCs w:val="32"/>
          <w:rtl/>
          <w:lang w:val="fr-FR" w:eastAsia="fr-FR"/>
          <w14:ligatures w14:val="none"/>
        </w:rPr>
        <w:t xml:space="preserve"> في هذه المرحلة هو </w:t>
      </w:r>
      <w:r>
        <w:rPr>
          <w:rFonts w:ascii="Simplified Arabic" w:eastAsia="Times New Roman" w:hAnsi="Simplified Arabic" w:cs="Simplified Arabic"/>
          <w:kern w:val="0"/>
          <w:sz w:val="32"/>
          <w:szCs w:val="32"/>
          <w:rtl/>
          <w:lang w:val="fr-FR" w:eastAsia="fr-FR"/>
          <w14:ligatures w14:val="none"/>
        </w:rPr>
        <w:t xml:space="preserve">صعود الرواية </w:t>
      </w:r>
      <w:r>
        <w:rPr>
          <w:rFonts w:ascii="Simplified Arabic" w:eastAsia="Times New Roman" w:hAnsi="Simplified Arabic" w:cs="Simplified Arabic" w:hint="cs"/>
          <w:kern w:val="0"/>
          <w:sz w:val="32"/>
          <w:szCs w:val="32"/>
          <w:rtl/>
          <w:lang w:val="fr-FR" w:eastAsia="fr-FR"/>
          <w14:ligatures w14:val="none"/>
        </w:rPr>
        <w:t xml:space="preserve">بوصفها جنسا </w:t>
      </w:r>
      <w:r>
        <w:rPr>
          <w:rFonts w:ascii="Simplified Arabic" w:eastAsia="Times New Roman" w:hAnsi="Simplified Arabic" w:cs="Simplified Arabic"/>
          <w:kern w:val="0"/>
          <w:sz w:val="32"/>
          <w:szCs w:val="32"/>
          <w:rtl/>
          <w:lang w:val="fr-FR" w:eastAsia="fr-FR"/>
          <w14:ligatures w14:val="none"/>
        </w:rPr>
        <w:t>أدبي</w:t>
      </w:r>
      <w:r>
        <w:rPr>
          <w:rFonts w:ascii="Simplified Arabic" w:eastAsia="Times New Roman" w:hAnsi="Simplified Arabic" w:cs="Simplified Arabic" w:hint="cs"/>
          <w:kern w:val="0"/>
          <w:sz w:val="32"/>
          <w:szCs w:val="32"/>
          <w:rtl/>
          <w:lang w:val="fr-FR" w:eastAsia="fr-FR"/>
          <w14:ligatures w14:val="none"/>
        </w:rPr>
        <w:t>ا</w:t>
      </w:r>
      <w:r>
        <w:rPr>
          <w:rFonts w:ascii="Simplified Arabic" w:eastAsia="Times New Roman" w:hAnsi="Simplified Arabic" w:cs="Simplified Arabic"/>
          <w:kern w:val="0"/>
          <w:sz w:val="32"/>
          <w:szCs w:val="32"/>
          <w:rtl/>
          <w:lang w:val="fr-FR" w:eastAsia="fr-FR"/>
          <w14:ligatures w14:val="none"/>
        </w:rPr>
        <w:t xml:space="preserve"> هجين</w:t>
      </w:r>
      <w:r>
        <w:rPr>
          <w:rFonts w:ascii="Simplified Arabic" w:eastAsia="Times New Roman" w:hAnsi="Simplified Arabic" w:cs="Simplified Arabic" w:hint="cs"/>
          <w:kern w:val="0"/>
          <w:sz w:val="32"/>
          <w:szCs w:val="32"/>
          <w:rtl/>
          <w:lang w:val="fr-FR" w:eastAsia="fr-FR"/>
          <w14:ligatures w14:val="none"/>
        </w:rPr>
        <w:t>ا</w:t>
      </w:r>
      <w:r>
        <w:rPr>
          <w:rFonts w:ascii="Simplified Arabic" w:eastAsia="Times New Roman" w:hAnsi="Simplified Arabic" w:cs="Simplified Arabic"/>
          <w:kern w:val="0"/>
          <w:sz w:val="32"/>
          <w:szCs w:val="32"/>
          <w:rtl/>
          <w:lang w:val="fr-FR" w:eastAsia="fr-FR"/>
          <w14:ligatures w14:val="none"/>
        </w:rPr>
        <w:t xml:space="preserve"> يجمع بين الغنائي والملحمي </w:t>
      </w:r>
      <w:r>
        <w:rPr>
          <w:rFonts w:ascii="Simplified Arabic" w:eastAsia="Times New Roman" w:hAnsi="Simplified Arabic" w:cs="Simplified Arabic" w:hint="cs"/>
          <w:kern w:val="0"/>
          <w:sz w:val="32"/>
          <w:szCs w:val="32"/>
          <w:rtl/>
          <w:lang w:val="fr-FR" w:eastAsia="fr-FR"/>
          <w14:ligatures w14:val="none"/>
        </w:rPr>
        <w:t>والدرامي، لي</w:t>
      </w:r>
      <w:r>
        <w:rPr>
          <w:rFonts w:ascii="Simplified Arabic" w:eastAsia="Times New Roman" w:hAnsi="Simplified Arabic" w:cs="Simplified Arabic"/>
          <w:kern w:val="0"/>
          <w:sz w:val="32"/>
          <w:szCs w:val="32"/>
          <w:rtl/>
          <w:lang w:val="fr-FR" w:eastAsia="fr-FR"/>
          <w14:ligatures w14:val="none"/>
        </w:rPr>
        <w:t xml:space="preserve">تم </w:t>
      </w:r>
      <w:r>
        <w:rPr>
          <w:rFonts w:ascii="Simplified Arabic" w:eastAsia="Times New Roman" w:hAnsi="Simplified Arabic" w:cs="Simplified Arabic" w:hint="cs"/>
          <w:kern w:val="0"/>
          <w:sz w:val="32"/>
          <w:szCs w:val="32"/>
          <w:rtl/>
          <w:lang w:val="fr-FR" w:eastAsia="fr-FR"/>
          <w14:ligatures w14:val="none"/>
        </w:rPr>
        <w:t xml:space="preserve">فيما بعد </w:t>
      </w:r>
      <w:r>
        <w:rPr>
          <w:rFonts w:ascii="Simplified Arabic" w:eastAsia="Times New Roman" w:hAnsi="Simplified Arabic" w:cs="Simplified Arabic"/>
          <w:kern w:val="0"/>
          <w:sz w:val="32"/>
          <w:szCs w:val="32"/>
          <w:rtl/>
          <w:lang w:val="fr-FR" w:eastAsia="fr-FR"/>
          <w14:ligatures w14:val="none"/>
        </w:rPr>
        <w:t>تفكيك فكرة الجنس الأدبي النقي تماماً، لتحل محله نصوص هجينة تجمع بين الأدب والفلسفة، والواقع والخيال، والجاد والساخر</w:t>
      </w:r>
      <w:r>
        <w:rPr>
          <w:rFonts w:ascii="Simplified Arabic" w:eastAsia="Times New Roman" w:hAnsi="Simplified Arabic" w:cs="Simplified Arabic" w:hint="cs"/>
          <w:kern w:val="0"/>
          <w:sz w:val="32"/>
          <w:szCs w:val="32"/>
          <w:rtl/>
          <w:lang w:val="fr-FR" w:eastAsia="fr-FR"/>
          <w14:ligatures w14:val="none"/>
        </w:rPr>
        <w:t>،</w:t>
      </w:r>
      <w:r>
        <w:rPr>
          <w:rFonts w:ascii="Simplified Arabic" w:eastAsia="Times New Roman" w:hAnsi="Simplified Arabic" w:cs="Simplified Arabic"/>
          <w:kern w:val="0"/>
          <w:sz w:val="32"/>
          <w:szCs w:val="32"/>
          <w:rtl/>
          <w:lang w:val="fr-FR" w:eastAsia="fr-FR"/>
          <w14:ligatures w14:val="none"/>
        </w:rPr>
        <w:t xml:space="preserve"> فأصبحنا أمام مشهد أدبي</w:t>
      </w:r>
      <w:r>
        <w:rPr>
          <w:rFonts w:ascii="Simplified Arabic" w:eastAsia="Times New Roman" w:hAnsi="Simplified Arabic" w:cs="Simplified Arabic" w:hint="cs"/>
          <w:kern w:val="0"/>
          <w:sz w:val="32"/>
          <w:szCs w:val="32"/>
          <w:rtl/>
          <w:lang w:val="fr-FR" w:eastAsia="fr-FR"/>
          <w14:ligatures w14:val="none"/>
        </w:rPr>
        <w:t xml:space="preserve"> بابلي</w:t>
      </w:r>
      <w:r>
        <w:rPr>
          <w:rFonts w:ascii="Simplified Arabic" w:eastAsia="Times New Roman" w:hAnsi="Simplified Arabic" w:cs="Simplified Arabic"/>
          <w:kern w:val="0"/>
          <w:sz w:val="32"/>
          <w:szCs w:val="32"/>
          <w:rtl/>
          <w:lang w:val="fr-FR" w:eastAsia="fr-FR"/>
          <w14:ligatures w14:val="none"/>
        </w:rPr>
        <w:t xml:space="preserve"> متعدد الأجناس، </w:t>
      </w:r>
      <w:r>
        <w:rPr>
          <w:rFonts w:ascii="Simplified Arabic" w:eastAsia="Times New Roman" w:hAnsi="Simplified Arabic" w:cs="Simplified Arabic" w:hint="cs"/>
          <w:kern w:val="0"/>
          <w:sz w:val="32"/>
          <w:szCs w:val="32"/>
          <w:rtl/>
          <w:lang w:val="fr-FR" w:eastAsia="fr-FR"/>
          <w14:ligatures w14:val="none"/>
        </w:rPr>
        <w:t>و</w:t>
      </w:r>
      <w:r>
        <w:rPr>
          <w:rFonts w:ascii="Simplified Arabic" w:eastAsia="Times New Roman" w:hAnsi="Simplified Arabic" w:cs="Simplified Arabic"/>
          <w:kern w:val="0"/>
          <w:sz w:val="32"/>
          <w:szCs w:val="32"/>
          <w:rtl/>
          <w:lang w:val="fr-FR" w:eastAsia="fr-FR"/>
          <w14:ligatures w14:val="none"/>
        </w:rPr>
        <w:t xml:space="preserve">يرفض التصنيفات التقليدية </w:t>
      </w:r>
      <w:r>
        <w:rPr>
          <w:rFonts w:ascii="Simplified Arabic" w:eastAsia="Times New Roman" w:hAnsi="Simplified Arabic" w:cs="Simplified Arabic" w:hint="cs"/>
          <w:kern w:val="0"/>
          <w:sz w:val="32"/>
          <w:szCs w:val="32"/>
          <w:rtl/>
          <w:lang w:val="fr-FR" w:eastAsia="fr-FR"/>
          <w14:ligatures w14:val="none"/>
        </w:rPr>
        <w:t>ل</w:t>
      </w:r>
      <w:r>
        <w:rPr>
          <w:rFonts w:ascii="Simplified Arabic" w:eastAsia="Times New Roman" w:hAnsi="Simplified Arabic" w:cs="Simplified Arabic"/>
          <w:kern w:val="0"/>
          <w:sz w:val="32"/>
          <w:szCs w:val="32"/>
          <w:rtl/>
          <w:lang w:val="fr-FR" w:eastAsia="fr-FR"/>
          <w14:ligatures w14:val="none"/>
        </w:rPr>
        <w:t>يبحث عن أشكال تعبيرية جديد</w:t>
      </w:r>
      <w:r>
        <w:rPr>
          <w:rFonts w:ascii="Simplified Arabic" w:eastAsia="Times New Roman" w:hAnsi="Simplified Arabic" w:cs="Simplified Arabic" w:hint="cs"/>
          <w:kern w:val="0"/>
          <w:sz w:val="32"/>
          <w:szCs w:val="32"/>
          <w:rtl/>
          <w:lang w:val="fr-FR" w:eastAsia="fr-FR"/>
          <w14:ligatures w14:val="none"/>
        </w:rPr>
        <w:t>ة مثلما نقف على ذلك من خلال أدب السيرة الذاتية، والرحلة</w:t>
      </w:r>
      <w:r>
        <w:rPr>
          <w:rFonts w:ascii="Simplified Arabic" w:eastAsia="Times New Roman" w:hAnsi="Simplified Arabic" w:cs="Simplified Arabic"/>
          <w:kern w:val="0"/>
          <w:sz w:val="32"/>
          <w:szCs w:val="32"/>
          <w:lang w:val="fr-FR" w:eastAsia="fr-FR"/>
          <w14:ligatures w14:val="none"/>
        </w:rPr>
        <w:t>.</w:t>
      </w:r>
    </w:p>
    <w:p w14:paraId="76332CAB" w14:textId="77777777" w:rsidR="008F0FEA" w:rsidRDefault="008F0FEA" w:rsidP="008F0FEA">
      <w:pPr>
        <w:jc w:val="mediumKashida"/>
        <w:rPr>
          <w:rFonts w:ascii="Simplified Arabic" w:hAnsi="Simplified Arabic" w:cs="Simplified Arabic"/>
          <w:b/>
          <w:bCs/>
          <w:sz w:val="32"/>
          <w:szCs w:val="32"/>
          <w:lang w:val="fr-FR" w:bidi="ar-TN"/>
        </w:rPr>
      </w:pPr>
      <w:r>
        <w:rPr>
          <w:rFonts w:ascii="Simplified Arabic" w:hAnsi="Simplified Arabic" w:cs="Simplified Arabic" w:hint="cs"/>
          <w:b/>
          <w:bCs/>
          <w:sz w:val="32"/>
          <w:szCs w:val="32"/>
          <w:rtl/>
          <w:lang w:val="fr-FR" w:bidi="ar-TN"/>
        </w:rPr>
        <w:t>السيرة الأدبية</w:t>
      </w:r>
    </w:p>
    <w:p w14:paraId="2445864C" w14:textId="77777777" w:rsidR="008F0FEA" w:rsidRDefault="008F0FEA" w:rsidP="008F0FEA">
      <w:pPr>
        <w:jc w:val="mediumKashida"/>
        <w:rPr>
          <w:rFonts w:ascii="Simplified Arabic" w:hAnsi="Simplified Arabic" w:cs="Simplified Arabic"/>
          <w:sz w:val="32"/>
          <w:szCs w:val="32"/>
          <w:rtl/>
          <w:lang w:val="fr-FR" w:bidi="ar-TN"/>
        </w:rPr>
      </w:pPr>
      <w:r>
        <w:rPr>
          <w:rFonts w:ascii="Simplified Arabic" w:eastAsia="Times New Roman" w:hAnsi="Simplified Arabic" w:cs="Simplified Arabic" w:hint="cs"/>
          <w:kern w:val="0"/>
          <w:sz w:val="32"/>
          <w:szCs w:val="32"/>
          <w:rtl/>
          <w:lang w:val="fr-FR" w:eastAsia="fr-FR"/>
          <w14:ligatures w14:val="none"/>
        </w:rPr>
        <w:t xml:space="preserve">يعد "فيليب </w:t>
      </w:r>
      <w:proofErr w:type="spellStart"/>
      <w:r>
        <w:rPr>
          <w:rFonts w:ascii="Simplified Arabic" w:eastAsia="Times New Roman" w:hAnsi="Simplified Arabic" w:cs="Simplified Arabic" w:hint="cs"/>
          <w:kern w:val="0"/>
          <w:sz w:val="32"/>
          <w:szCs w:val="32"/>
          <w:rtl/>
          <w:lang w:val="fr-FR" w:eastAsia="fr-FR"/>
          <w14:ligatures w14:val="none"/>
        </w:rPr>
        <w:t>لوجون</w:t>
      </w:r>
      <w:proofErr w:type="spellEnd"/>
      <w:r>
        <w:rPr>
          <w:rFonts w:ascii="Simplified Arabic" w:eastAsia="Times New Roman" w:hAnsi="Simplified Arabic" w:cs="Simplified Arabic" w:hint="cs"/>
          <w:kern w:val="0"/>
          <w:sz w:val="32"/>
          <w:szCs w:val="32"/>
          <w:rtl/>
          <w:lang w:val="fr-FR" w:eastAsia="fr-FR"/>
          <w14:ligatures w14:val="none"/>
        </w:rPr>
        <w:t>" من أهم النقاد الذين اشتغلوا على هذا النوع الأدبي ووقفوا على حدود تداخله مع الأنواع القريبة منه، أما في سياق تحديده فيرى "</w:t>
      </w:r>
      <w:proofErr w:type="spellStart"/>
      <w:r>
        <w:rPr>
          <w:rFonts w:ascii="Simplified Arabic" w:eastAsia="Times New Roman" w:hAnsi="Simplified Arabic" w:cs="Simplified Arabic" w:hint="cs"/>
          <w:kern w:val="0"/>
          <w:sz w:val="32"/>
          <w:szCs w:val="32"/>
          <w:rtl/>
          <w:lang w:val="fr-FR" w:eastAsia="fr-FR"/>
          <w14:ligatures w14:val="none"/>
        </w:rPr>
        <w:t>لوجون</w:t>
      </w:r>
      <w:proofErr w:type="spellEnd"/>
      <w:r>
        <w:rPr>
          <w:rFonts w:ascii="Simplified Arabic" w:eastAsia="Times New Roman" w:hAnsi="Simplified Arabic" w:cs="Simplified Arabic" w:hint="cs"/>
          <w:kern w:val="0"/>
          <w:sz w:val="32"/>
          <w:szCs w:val="32"/>
          <w:rtl/>
          <w:lang w:val="fr-FR" w:eastAsia="fr-FR"/>
          <w14:ligatures w14:val="none"/>
        </w:rPr>
        <w:t xml:space="preserve">" بأن السيرة الذاتية هي </w:t>
      </w:r>
      <w:r>
        <w:rPr>
          <w:rFonts w:ascii="Simplified Arabic" w:eastAsia="Times New Roman" w:hAnsi="Simplified Arabic" w:cs="Simplified Arabic"/>
          <w:kern w:val="0"/>
          <w:sz w:val="32"/>
          <w:szCs w:val="32"/>
          <w:rtl/>
          <w:lang w:val="fr-FR" w:eastAsia="fr-FR"/>
          <w14:ligatures w14:val="none"/>
        </w:rPr>
        <w:t>«</w:t>
      </w:r>
      <w:r>
        <w:rPr>
          <w:rFonts w:ascii="Simplified Arabic" w:eastAsia="Times New Roman" w:hAnsi="Simplified Arabic" w:cs="Simplified Arabic" w:hint="cs"/>
          <w:kern w:val="0"/>
          <w:sz w:val="32"/>
          <w:szCs w:val="32"/>
          <w:rtl/>
          <w:lang w:val="fr-FR" w:eastAsia="fr-FR"/>
          <w14:ligatures w14:val="none"/>
        </w:rPr>
        <w:t>حكي استيعادي نثري يقوم به شخص واقعي عن وجوده الخاص، وبذلك عندما يركز عن حياته الفردية وعلى تاريخ شخصيته بصفة خاصة</w:t>
      </w:r>
      <w:r>
        <w:rPr>
          <w:rFonts w:ascii="Simplified Arabic" w:eastAsia="Times New Roman" w:hAnsi="Simplified Arabic" w:cs="Simplified Arabic"/>
          <w:kern w:val="0"/>
          <w:sz w:val="32"/>
          <w:szCs w:val="32"/>
          <w:rtl/>
          <w:lang w:val="fr-FR" w:eastAsia="fr-FR"/>
          <w14:ligatures w14:val="none"/>
        </w:rPr>
        <w:t>»</w:t>
      </w:r>
      <w:r>
        <w:rPr>
          <w:rStyle w:val="Appelnotedebasdep"/>
          <w:rFonts w:ascii="Simplified Arabic" w:eastAsia="Times New Roman" w:hAnsi="Simplified Arabic" w:cs="Simplified Arabic"/>
          <w:kern w:val="0"/>
          <w:sz w:val="32"/>
          <w:szCs w:val="32"/>
          <w:rtl/>
          <w:lang w:val="fr-FR" w:eastAsia="fr-FR"/>
          <w14:ligatures w14:val="none"/>
        </w:rPr>
        <w:footnoteReference w:id="1"/>
      </w:r>
      <w:r>
        <w:rPr>
          <w:rFonts w:ascii="Simplified Arabic" w:eastAsia="Times New Roman" w:hAnsi="Simplified Arabic" w:cs="Simplified Arabic" w:hint="cs"/>
          <w:kern w:val="0"/>
          <w:sz w:val="32"/>
          <w:szCs w:val="32"/>
          <w:rtl/>
          <w:lang w:val="fr-FR" w:eastAsia="fr-FR"/>
          <w14:ligatures w14:val="none"/>
        </w:rPr>
        <w:t xml:space="preserve"> وهو ما يعني خلوه من مفهوم العناصر التي تقرنه بالأدبية فإذا ما تبنى </w:t>
      </w:r>
      <w:r>
        <w:rPr>
          <w:rFonts w:ascii="Simplified Arabic" w:eastAsia="Times New Roman" w:hAnsi="Simplified Arabic" w:cs="Simplified Arabic" w:hint="cs"/>
          <w:kern w:val="0"/>
          <w:sz w:val="32"/>
          <w:szCs w:val="32"/>
          <w:rtl/>
          <w:lang w:val="fr-FR" w:eastAsia="fr-FR"/>
          <w14:ligatures w14:val="none"/>
        </w:rPr>
        <w:lastRenderedPageBreak/>
        <w:t xml:space="preserve">هذه الأخيرة دخل في سياق الرواية السير ذاتية أو السيرة الأدبية، وهو ما يستدعي استحضار رؤية "جورج ماي" الذي قرن بينهما في كتابيه الموسومين بـ "السيرة الذاتية" و"أنا أيضا" حيث يرى في هذا الأخير أن السيرة الذاتية </w:t>
      </w:r>
      <w:r>
        <w:rPr>
          <w:rFonts w:ascii="Simplified Arabic" w:eastAsia="Times New Roman" w:hAnsi="Simplified Arabic" w:cs="Simplified Arabic"/>
          <w:kern w:val="0"/>
          <w:sz w:val="32"/>
          <w:szCs w:val="32"/>
          <w:rtl/>
          <w:lang w:val="fr-FR" w:eastAsia="fr-FR"/>
          <w14:ligatures w14:val="none"/>
        </w:rPr>
        <w:t>«</w:t>
      </w:r>
      <w:r>
        <w:rPr>
          <w:rFonts w:ascii="Simplified Arabic" w:eastAsia="Times New Roman" w:hAnsi="Simplified Arabic" w:cs="Simplified Arabic" w:hint="cs"/>
          <w:kern w:val="0"/>
          <w:sz w:val="32"/>
          <w:szCs w:val="32"/>
          <w:rtl/>
          <w:lang w:val="fr-FR" w:eastAsia="fr-FR"/>
          <w14:ligatures w14:val="none"/>
        </w:rPr>
        <w:t>هي أثر أدبي ؛ رواية، شعر، مقالة، دراسة فلسفية...الخ يسعى من خلاله المؤلف بقصد مضمر أو صريح إلى حكاي حياته وعرض أفكاره وتشخيص إحساساته</w:t>
      </w:r>
      <w:r>
        <w:rPr>
          <w:rFonts w:ascii="Simplified Arabic" w:eastAsia="Times New Roman" w:hAnsi="Simplified Arabic" w:cs="Simplified Arabic"/>
          <w:kern w:val="0"/>
          <w:sz w:val="32"/>
          <w:szCs w:val="32"/>
          <w:rtl/>
          <w:lang w:val="fr-FR" w:eastAsia="fr-FR"/>
          <w14:ligatures w14:val="none"/>
        </w:rPr>
        <w:t>»</w:t>
      </w:r>
      <w:r>
        <w:rPr>
          <w:rStyle w:val="Appelnotedebasdep"/>
          <w:rFonts w:ascii="Simplified Arabic" w:eastAsia="Times New Roman" w:hAnsi="Simplified Arabic" w:cs="Simplified Arabic"/>
          <w:kern w:val="0"/>
          <w:sz w:val="32"/>
          <w:szCs w:val="32"/>
          <w:rtl/>
          <w:lang w:val="fr-FR" w:eastAsia="fr-FR"/>
          <w14:ligatures w14:val="none"/>
        </w:rPr>
        <w:footnoteReference w:id="2"/>
      </w:r>
      <w:r>
        <w:rPr>
          <w:rFonts w:ascii="Simplified Arabic" w:eastAsia="Times New Roman" w:hAnsi="Simplified Arabic" w:cs="Simplified Arabic" w:hint="cs"/>
          <w:kern w:val="0"/>
          <w:sz w:val="32"/>
          <w:szCs w:val="32"/>
          <w:rtl/>
          <w:lang w:val="fr-FR" w:eastAsia="fr-FR"/>
          <w14:ligatures w14:val="none"/>
        </w:rPr>
        <w:t xml:space="preserve"> بطريقة فنية وهو ما يعني المزاوجة بين الحدث المقترن بالسيرة الذاتية من جهة ودمجه مع نوع أدبي آخر </w:t>
      </w:r>
      <w:proofErr w:type="spellStart"/>
      <w:r>
        <w:rPr>
          <w:rFonts w:ascii="Simplified Arabic" w:eastAsia="Times New Roman" w:hAnsi="Simplified Arabic" w:cs="Simplified Arabic" w:hint="cs"/>
          <w:kern w:val="0"/>
          <w:sz w:val="32"/>
          <w:szCs w:val="32"/>
          <w:rtl/>
          <w:lang w:val="fr-FR" w:eastAsia="fr-FR"/>
          <w14:ligatures w14:val="none"/>
        </w:rPr>
        <w:t>يتلبسه</w:t>
      </w:r>
      <w:proofErr w:type="spellEnd"/>
      <w:r>
        <w:rPr>
          <w:rFonts w:ascii="Simplified Arabic" w:eastAsia="Times New Roman" w:hAnsi="Simplified Arabic" w:cs="Simplified Arabic" w:hint="cs"/>
          <w:kern w:val="0"/>
          <w:sz w:val="32"/>
          <w:szCs w:val="32"/>
          <w:rtl/>
          <w:lang w:val="fr-FR" w:eastAsia="fr-FR"/>
          <w14:ligatures w14:val="none"/>
        </w:rPr>
        <w:t xml:space="preserve"> ويتجلى من خلاله سواء كان نثرا أو شعرا من جهة أخرى، غير أن ما هو سائد في الساحة الأدبية المعاصرة هو نزوع هذا النوع الأدبي نحو الرواية بوصفها الجنس الأكثر شهرة وجاذبية، حيث فرضت</w:t>
      </w:r>
      <w:r>
        <w:rPr>
          <w:rFonts w:ascii="Simplified Arabic" w:eastAsia="Times New Roman" w:hAnsi="Simplified Arabic" w:cs="Simplified Arabic"/>
          <w:kern w:val="0"/>
          <w:sz w:val="32"/>
          <w:szCs w:val="32"/>
          <w:rtl/>
          <w:lang w:val="fr-FR" w:eastAsia="fr-FR"/>
          <w14:ligatures w14:val="none"/>
        </w:rPr>
        <w:t xml:space="preserve"> الرواية </w:t>
      </w:r>
      <w:r>
        <w:rPr>
          <w:rFonts w:ascii="Simplified Arabic" w:eastAsia="Times New Roman" w:hAnsi="Simplified Arabic" w:cs="Simplified Arabic" w:hint="cs"/>
          <w:kern w:val="0"/>
          <w:sz w:val="32"/>
          <w:szCs w:val="32"/>
          <w:rtl/>
          <w:lang w:val="fr-FR" w:eastAsia="fr-FR"/>
          <w14:ligatures w14:val="none"/>
        </w:rPr>
        <w:t>نفسها في صدارة الأجناس الأدبية التي تمكنت من مد أذرعها إلى الأنواع المتاخمة لها، وهو ما دعا "</w:t>
      </w:r>
      <w:proofErr w:type="spellStart"/>
      <w:r>
        <w:rPr>
          <w:rFonts w:ascii="Simplified Arabic" w:eastAsia="Times New Roman" w:hAnsi="Simplified Arabic" w:cs="Simplified Arabic" w:hint="cs"/>
          <w:kern w:val="0"/>
          <w:sz w:val="32"/>
          <w:szCs w:val="32"/>
          <w:rtl/>
          <w:lang w:val="fr-FR" w:eastAsia="fr-FR"/>
          <w14:ligatures w14:val="none"/>
        </w:rPr>
        <w:t>باختين</w:t>
      </w:r>
      <w:proofErr w:type="spellEnd"/>
      <w:r>
        <w:rPr>
          <w:rFonts w:ascii="Simplified Arabic" w:eastAsia="Times New Roman" w:hAnsi="Simplified Arabic" w:cs="Simplified Arabic" w:hint="cs"/>
          <w:kern w:val="0"/>
          <w:sz w:val="32"/>
          <w:szCs w:val="32"/>
          <w:rtl/>
          <w:lang w:val="fr-FR" w:eastAsia="fr-FR"/>
          <w14:ligatures w14:val="none"/>
        </w:rPr>
        <w:t>" إلى القول بأن</w:t>
      </w:r>
      <w:r>
        <w:rPr>
          <w:rFonts w:ascii="Simplified Arabic" w:hAnsi="Simplified Arabic" w:cs="Simplified Arabic" w:hint="cs"/>
          <w:b/>
          <w:bCs/>
          <w:sz w:val="32"/>
          <w:szCs w:val="32"/>
          <w:rtl/>
          <w:lang w:val="fr-FR" w:bidi="ar-TN"/>
        </w:rPr>
        <w:t xml:space="preserve"> </w:t>
      </w:r>
      <w:r w:rsidRPr="00A47890">
        <w:rPr>
          <w:rFonts w:ascii="Simplified Arabic" w:hAnsi="Simplified Arabic" w:cs="Simplified Arabic" w:hint="cs"/>
          <w:sz w:val="32"/>
          <w:szCs w:val="32"/>
          <w:rtl/>
          <w:lang w:val="fr-FR" w:bidi="ar-TN"/>
        </w:rPr>
        <w:t>"الرواية هي الفن الوحيد الذي يعيش في صيرورة دائمة ولا يزال غير مكتمل</w:t>
      </w:r>
      <w:r w:rsidRPr="002217C0">
        <w:rPr>
          <w:rFonts w:ascii="Simplified Arabic" w:hAnsi="Simplified Arabic" w:cs="Simplified Arabic" w:hint="cs"/>
          <w:sz w:val="32"/>
          <w:szCs w:val="32"/>
          <w:rtl/>
          <w:lang w:val="fr-FR" w:bidi="ar-TN"/>
        </w:rPr>
        <w:t>"</w:t>
      </w:r>
      <w:r w:rsidRPr="002217C0">
        <w:rPr>
          <w:rStyle w:val="Appelnotedebasdep"/>
          <w:rFonts w:ascii="Simplified Arabic" w:hAnsi="Simplified Arabic" w:cs="Simplified Arabic"/>
          <w:sz w:val="32"/>
          <w:szCs w:val="32"/>
          <w:rtl/>
          <w:lang w:val="fr-FR" w:bidi="ar-TN"/>
        </w:rPr>
        <w:footnoteReference w:id="3"/>
      </w:r>
      <w:r w:rsidRPr="002217C0">
        <w:rPr>
          <w:rFonts w:ascii="Simplified Arabic" w:hAnsi="Simplified Arabic" w:cs="Simplified Arabic" w:hint="cs"/>
          <w:sz w:val="32"/>
          <w:szCs w:val="32"/>
          <w:rtl/>
          <w:lang w:val="fr-FR" w:bidi="ar-TN"/>
        </w:rPr>
        <w:t>. وهو المنظور نفسه الذي يمكن أن نقف عليه من خلال رؤية</w:t>
      </w:r>
      <w:r w:rsidRPr="002217C0">
        <w:rPr>
          <w:rFonts w:ascii="Simplified Arabic" w:hAnsi="Simplified Arabic" w:cs="Simplified Arabic"/>
          <w:sz w:val="32"/>
          <w:szCs w:val="32"/>
          <w:rtl/>
          <w:lang w:val="fr-FR" w:bidi="ar-TN"/>
        </w:rPr>
        <w:t xml:space="preserve"> </w:t>
      </w:r>
      <w:r w:rsidRPr="002217C0">
        <w:rPr>
          <w:rFonts w:ascii="Simplified Arabic" w:hAnsi="Simplified Arabic" w:cs="Simplified Arabic" w:hint="cs"/>
          <w:sz w:val="32"/>
          <w:szCs w:val="32"/>
          <w:rtl/>
          <w:lang w:val="fr-FR" w:bidi="ar-TN"/>
        </w:rPr>
        <w:t>"</w:t>
      </w:r>
      <w:r w:rsidRPr="002217C0">
        <w:rPr>
          <w:rFonts w:ascii="Simplified Arabic" w:hAnsi="Simplified Arabic" w:cs="Simplified Arabic"/>
          <w:sz w:val="32"/>
          <w:szCs w:val="32"/>
          <w:rtl/>
          <w:lang w:val="fr-FR" w:bidi="ar-TN"/>
        </w:rPr>
        <w:t>إدوار خراط</w:t>
      </w:r>
      <w:r w:rsidRPr="002217C0">
        <w:rPr>
          <w:rFonts w:ascii="Simplified Arabic" w:hAnsi="Simplified Arabic" w:cs="Simplified Arabic" w:hint="cs"/>
          <w:sz w:val="32"/>
          <w:szCs w:val="32"/>
          <w:rtl/>
          <w:lang w:val="fr-FR" w:bidi="ar-TN"/>
        </w:rPr>
        <w:t xml:space="preserve">"، حيث </w:t>
      </w:r>
      <w:proofErr w:type="gramStart"/>
      <w:r w:rsidRPr="002217C0">
        <w:rPr>
          <w:rFonts w:ascii="Simplified Arabic" w:hAnsi="Simplified Arabic" w:cs="Simplified Arabic" w:hint="cs"/>
          <w:sz w:val="32"/>
          <w:szCs w:val="32"/>
          <w:rtl/>
          <w:lang w:val="fr-FR" w:bidi="ar-TN"/>
        </w:rPr>
        <w:t xml:space="preserve">يرى </w:t>
      </w:r>
      <w:r w:rsidRPr="002217C0">
        <w:rPr>
          <w:rFonts w:ascii="Simplified Arabic" w:hAnsi="Simplified Arabic" w:cs="Simplified Arabic"/>
          <w:sz w:val="32"/>
          <w:szCs w:val="32"/>
          <w:rtl/>
          <w:lang w:val="fr-FR" w:bidi="ar-TN"/>
        </w:rPr>
        <w:t xml:space="preserve"> </w:t>
      </w:r>
      <w:r w:rsidRPr="002217C0">
        <w:rPr>
          <w:rFonts w:ascii="Simplified Arabic" w:hAnsi="Simplified Arabic" w:cs="Simplified Arabic" w:hint="cs"/>
          <w:sz w:val="32"/>
          <w:szCs w:val="32"/>
          <w:rtl/>
          <w:lang w:val="fr-FR" w:bidi="ar-TN"/>
        </w:rPr>
        <w:t>ب</w:t>
      </w:r>
      <w:r w:rsidRPr="002217C0">
        <w:rPr>
          <w:rFonts w:ascii="Simplified Arabic" w:hAnsi="Simplified Arabic" w:cs="Simplified Arabic"/>
          <w:sz w:val="32"/>
          <w:szCs w:val="32"/>
          <w:rtl/>
          <w:lang w:val="fr-FR" w:bidi="ar-TN"/>
        </w:rPr>
        <w:t>أن</w:t>
      </w:r>
      <w:proofErr w:type="gramEnd"/>
      <w:r w:rsidRPr="002217C0">
        <w:rPr>
          <w:rFonts w:ascii="Simplified Arabic" w:hAnsi="Simplified Arabic" w:cs="Simplified Arabic"/>
          <w:sz w:val="32"/>
          <w:szCs w:val="32"/>
          <w:rtl/>
          <w:lang w:val="fr-FR" w:bidi="ar-TN"/>
        </w:rPr>
        <w:t xml:space="preserve"> «الكتابة عبر النوعية هي في حقيقة الأمر رؤية جديدة في الكتابة وتصور يتجاوز ما كان سائدا في الرواية التقليدية، أي أنه مذهب يدعو إلى أن تكون الرواية على اتصال وثيق بالرسم والغناء والموسيقى والمسرح وغيرها، فهي منفتحة على بقية الفنون الأخرى، وهو تعريف جديد يتجاوز التعريفات السابقة للرواية ويكرس التداخل الأجناسي بين الرواية وغيرها من الفنون»</w:t>
      </w:r>
      <w:r w:rsidRPr="002217C0">
        <w:rPr>
          <w:rStyle w:val="Appelnotedebasdep"/>
          <w:rFonts w:ascii="Simplified Arabic" w:hAnsi="Simplified Arabic" w:cs="Simplified Arabic"/>
          <w:sz w:val="32"/>
          <w:szCs w:val="32"/>
          <w:rtl/>
          <w:lang w:val="fr-FR" w:bidi="ar-TN"/>
        </w:rPr>
        <w:footnoteReference w:id="4"/>
      </w:r>
      <w:r>
        <w:rPr>
          <w:rFonts w:ascii="Simplified Arabic" w:hAnsi="Simplified Arabic" w:cs="Simplified Arabic" w:hint="cs"/>
          <w:sz w:val="32"/>
          <w:szCs w:val="32"/>
          <w:rtl/>
          <w:lang w:val="fr-FR" w:bidi="ar-TN"/>
        </w:rPr>
        <w:t xml:space="preserve">. وعليه فإن السيرة الأدبية هي كل عمل فني يستحضر حياة ذات الأديب ليتقمص أبرز محطات حياته </w:t>
      </w:r>
      <w:proofErr w:type="spellStart"/>
      <w:r>
        <w:rPr>
          <w:rFonts w:ascii="Simplified Arabic" w:hAnsi="Simplified Arabic" w:cs="Simplified Arabic" w:hint="cs"/>
          <w:sz w:val="32"/>
          <w:szCs w:val="32"/>
          <w:rtl/>
          <w:lang w:val="fr-FR" w:bidi="ar-TN"/>
        </w:rPr>
        <w:t>ويتلبسها</w:t>
      </w:r>
      <w:proofErr w:type="spellEnd"/>
      <w:r>
        <w:rPr>
          <w:rFonts w:ascii="Simplified Arabic" w:hAnsi="Simplified Arabic" w:cs="Simplified Arabic" w:hint="cs"/>
          <w:sz w:val="32"/>
          <w:szCs w:val="32"/>
          <w:rtl/>
          <w:lang w:val="fr-FR" w:bidi="ar-TN"/>
        </w:rPr>
        <w:t xml:space="preserve"> في قالب فني يتوافق مع الأجناس الأدبية المعروفة مثل الرواية والمسرحية وغيرها، ولعل من أبرز السير الأدبية الشهيرة "الاعترافات" لجون </w:t>
      </w:r>
      <w:r>
        <w:rPr>
          <w:rFonts w:ascii="Simplified Arabic" w:hAnsi="Simplified Arabic" w:cs="Simplified Arabic" w:hint="cs"/>
          <w:sz w:val="32"/>
          <w:szCs w:val="32"/>
          <w:rtl/>
          <w:lang w:val="fr-FR" w:bidi="ar-TN"/>
        </w:rPr>
        <w:lastRenderedPageBreak/>
        <w:t>جاك روسو، "الأيام" لطه حسين، "حياتي" لأحمد أمين وغيرها من النماذج الفنية التي تدخل في سياق السيرة الأدبية.</w:t>
      </w:r>
    </w:p>
    <w:p w14:paraId="1A3DD3EC" w14:textId="77777777" w:rsidR="008F0FEA" w:rsidRDefault="008F0FEA" w:rsidP="008F0FEA">
      <w:pPr>
        <w:jc w:val="mediumKashida"/>
        <w:rPr>
          <w:rFonts w:ascii="Simplified Arabic" w:hAnsi="Simplified Arabic" w:cs="Simplified Arabic"/>
          <w:b/>
          <w:bCs/>
          <w:sz w:val="32"/>
          <w:szCs w:val="32"/>
          <w:rtl/>
          <w:lang w:val="fr-FR" w:bidi="ar-TN"/>
        </w:rPr>
      </w:pPr>
      <w:r w:rsidRPr="00F90681">
        <w:rPr>
          <w:rFonts w:ascii="Simplified Arabic" w:hAnsi="Simplified Arabic" w:cs="Simplified Arabic" w:hint="cs"/>
          <w:b/>
          <w:bCs/>
          <w:sz w:val="32"/>
          <w:szCs w:val="32"/>
          <w:rtl/>
          <w:lang w:val="fr-FR" w:bidi="ar-TN"/>
        </w:rPr>
        <w:t>الرحلة</w:t>
      </w:r>
    </w:p>
    <w:p w14:paraId="50F7D50F" w14:textId="77777777" w:rsidR="008F0FEA" w:rsidRDefault="008F0FEA" w:rsidP="008F0FEA">
      <w:pPr>
        <w:jc w:val="mediumKashida"/>
        <w:rPr>
          <w:rFonts w:ascii="Simplified Arabic" w:hAnsi="Simplified Arabic" w:cs="Simplified Arabic" w:hint="cs"/>
          <w:sz w:val="32"/>
          <w:szCs w:val="32"/>
          <w:rtl/>
          <w:lang w:val="fr-FR" w:bidi="ar-TN"/>
        </w:rPr>
      </w:pPr>
      <w:r w:rsidRPr="004044DC">
        <w:rPr>
          <w:rFonts w:ascii="Simplified Arabic" w:hAnsi="Simplified Arabic" w:cs="Simplified Arabic" w:hint="cs"/>
          <w:sz w:val="32"/>
          <w:szCs w:val="32"/>
          <w:rtl/>
          <w:lang w:val="fr-FR" w:bidi="ar-TN"/>
        </w:rPr>
        <w:t xml:space="preserve">يعد أدب الرحلة أحد الأنواع الأدبية البينية التي تمس في تشكيلها حدود أكثر من نوع أدبي ، يعرفها "معجم المصطلحات الأدبية" بأنها </w:t>
      </w:r>
      <w:r w:rsidRPr="004044DC">
        <w:rPr>
          <w:rFonts w:ascii="Simplified Arabic" w:hAnsi="Simplified Arabic" w:cs="Simplified Arabic"/>
          <w:sz w:val="32"/>
          <w:szCs w:val="32"/>
          <w:rtl/>
          <w:lang w:val="fr-FR" w:bidi="ar-TN"/>
        </w:rPr>
        <w:t>«</w:t>
      </w:r>
      <w:r w:rsidRPr="004044DC">
        <w:rPr>
          <w:rFonts w:ascii="Simplified Arabic" w:hAnsi="Simplified Arabic" w:cs="Simplified Arabic" w:hint="cs"/>
          <w:sz w:val="32"/>
          <w:szCs w:val="32"/>
          <w:rtl/>
          <w:lang w:val="fr-FR" w:bidi="ar-TN"/>
        </w:rPr>
        <w:t xml:space="preserve">مجموعة من الآثار الأدبية  التي تتناول انطباعات المؤلف عن رحلاته في بلاد مختلفة ، وقد يتعرض فيها لوصف ما يراه من عادات وسلوك وأخلاق، ولتسجيل دقيق للمناظر الطبيعية التي يشاهدها ، أو يسرد مراحل رحلته مرحلة </w:t>
      </w:r>
      <w:proofErr w:type="spellStart"/>
      <w:r w:rsidRPr="004044DC">
        <w:rPr>
          <w:rFonts w:ascii="Simplified Arabic" w:hAnsi="Simplified Arabic" w:cs="Simplified Arabic" w:hint="cs"/>
          <w:sz w:val="32"/>
          <w:szCs w:val="32"/>
          <w:rtl/>
          <w:lang w:val="fr-FR" w:bidi="ar-TN"/>
        </w:rPr>
        <w:t>مرحلة</w:t>
      </w:r>
      <w:proofErr w:type="spellEnd"/>
      <w:r w:rsidRPr="004044DC">
        <w:rPr>
          <w:rFonts w:ascii="Simplified Arabic" w:hAnsi="Simplified Arabic" w:cs="Simplified Arabic" w:hint="cs"/>
          <w:sz w:val="32"/>
          <w:szCs w:val="32"/>
          <w:rtl/>
          <w:lang w:val="fr-FR" w:bidi="ar-TN"/>
        </w:rPr>
        <w:t>، أو يجمع بين كل هذا في أن واحد</w:t>
      </w:r>
      <w:r w:rsidRPr="004044DC">
        <w:rPr>
          <w:rFonts w:ascii="Simplified Arabic" w:hAnsi="Simplified Arabic" w:cs="Simplified Arabic"/>
          <w:sz w:val="32"/>
          <w:szCs w:val="32"/>
          <w:rtl/>
          <w:lang w:val="fr-FR" w:bidi="ar-TN"/>
        </w:rPr>
        <w:t>»</w:t>
      </w:r>
      <w:r w:rsidRPr="004044DC">
        <w:rPr>
          <w:rStyle w:val="Appelnotedebasdep"/>
          <w:rFonts w:ascii="Simplified Arabic" w:hAnsi="Simplified Arabic" w:cs="Simplified Arabic"/>
          <w:sz w:val="32"/>
          <w:szCs w:val="32"/>
          <w:rtl/>
          <w:lang w:val="fr-FR" w:bidi="ar-TN"/>
        </w:rPr>
        <w:footnoteReference w:id="5"/>
      </w:r>
      <w:r>
        <w:rPr>
          <w:rFonts w:ascii="Simplified Arabic" w:hAnsi="Simplified Arabic" w:cs="Simplified Arabic" w:hint="cs"/>
          <w:sz w:val="32"/>
          <w:szCs w:val="32"/>
          <w:rtl/>
          <w:lang w:val="fr-FR" w:bidi="ar-TN"/>
        </w:rPr>
        <w:t xml:space="preserve"> إنها نوع أدبي عابر للأنواع الأدبية ، حيث يتقاطع مع الرواية والقصة والمقامة أيضا، فقد </w:t>
      </w:r>
      <w:r w:rsidRPr="004044DC">
        <w:rPr>
          <w:rFonts w:ascii="Simplified Arabic" w:hAnsi="Simplified Arabic" w:cs="Simplified Arabic"/>
          <w:sz w:val="32"/>
          <w:szCs w:val="32"/>
          <w:rtl/>
          <w:lang w:val="fr-FR" w:bidi="ar-TN"/>
        </w:rPr>
        <w:t>«حاولت بعض الأعمال التجريبية الأولى أن تتخذ من المقامة وأسلوب بنائها الفني إطارا شكليا لتقديم هذا الفن الجديد من ناحية والتعبير من خلاله عن القضايا المعاصرة من ناحية أخرى، وكانت أخطر تلك القضايا، قضية الصراع بين الشرق والغرب واقتحام المحتوى المادي للحضارة الغربية الوجدان العربي»</w:t>
      </w:r>
      <w:r w:rsidRPr="004044DC">
        <w:rPr>
          <w:rStyle w:val="Appelnotedebasdep"/>
          <w:rFonts w:ascii="Simplified Arabic" w:hAnsi="Simplified Arabic" w:cs="Simplified Arabic"/>
          <w:sz w:val="32"/>
          <w:szCs w:val="32"/>
          <w:rtl/>
          <w:lang w:val="fr-FR" w:bidi="ar-TN"/>
        </w:rPr>
        <w:footnoteReference w:id="6"/>
      </w:r>
      <w:r>
        <w:rPr>
          <w:rFonts w:ascii="Simplified Arabic" w:hAnsi="Simplified Arabic" w:cs="Simplified Arabic" w:hint="cs"/>
          <w:sz w:val="32"/>
          <w:szCs w:val="32"/>
          <w:rtl/>
          <w:lang w:val="fr-FR" w:bidi="ar-TN"/>
        </w:rPr>
        <w:t>، حيث يثير أدب الرحلة تصورات الذات عن غيرها في سياق التلاقي بينهما الذي يؤسسه معطى الارتحال والانتقال إلى بيئة أخرى.</w:t>
      </w:r>
    </w:p>
    <w:p w14:paraId="4EB56F7F" w14:textId="77777777" w:rsidR="008F0FEA" w:rsidRDefault="008F0FEA" w:rsidP="008F0FEA">
      <w:pPr>
        <w:jc w:val="mediumKashida"/>
        <w:rPr>
          <w:rFonts w:ascii="Simplified Arabic" w:hAnsi="Simplified Arabic" w:cs="Simplified Arabic" w:hint="cs"/>
          <w:sz w:val="32"/>
          <w:szCs w:val="32"/>
          <w:rtl/>
          <w:lang w:val="fr-FR" w:bidi="ar-TN"/>
        </w:rPr>
      </w:pPr>
      <w:r>
        <w:rPr>
          <w:rFonts w:ascii="Simplified Arabic" w:hAnsi="Simplified Arabic" w:cs="Simplified Arabic" w:hint="cs"/>
          <w:sz w:val="32"/>
          <w:szCs w:val="32"/>
          <w:rtl/>
          <w:lang w:val="fr-FR" w:bidi="ar-TN"/>
        </w:rPr>
        <w:t xml:space="preserve">وتتجلى أدبية الأدب أو ما يمكن أن نصطلح عليه بالمؤشرات الأدبية للنوع الأدبي المقترن بالرحلة من خلال تضمنها </w:t>
      </w:r>
      <w:r>
        <w:rPr>
          <w:rFonts w:ascii="Simplified Arabic" w:hAnsi="Simplified Arabic" w:cs="Simplified Arabic"/>
          <w:sz w:val="32"/>
          <w:szCs w:val="32"/>
          <w:rtl/>
          <w:lang w:val="fr-FR" w:bidi="ar-TN"/>
        </w:rPr>
        <w:t>«</w:t>
      </w:r>
      <w:r>
        <w:rPr>
          <w:rFonts w:ascii="Simplified Arabic" w:hAnsi="Simplified Arabic" w:cs="Simplified Arabic" w:hint="cs"/>
          <w:sz w:val="32"/>
          <w:szCs w:val="32"/>
          <w:rtl/>
          <w:lang w:val="fr-FR" w:bidi="ar-TN"/>
        </w:rPr>
        <w:t>أساليب ترتفع بها إلى عالم الأدب، وترقى بها إلى مستوى الخيال الفني، فإذا كان أبرز ما يميز أدب الرحلات تنوع في الأسلوب من السرد القصصي إلى الحوار إلى الوصف وغيره، فإن أبرز ما يميزه أسلوب الكتابة القصصي المعتمد على السرد المشوق بما يقدمه من متعة ذهنية كبرى</w:t>
      </w:r>
      <w:proofErr w:type="gramStart"/>
      <w:r>
        <w:rPr>
          <w:rFonts w:ascii="Simplified Arabic" w:hAnsi="Simplified Arabic" w:cs="Simplified Arabic"/>
          <w:sz w:val="32"/>
          <w:szCs w:val="32"/>
          <w:rtl/>
          <w:lang w:val="fr-FR" w:bidi="ar-TN"/>
        </w:rPr>
        <w:t>»</w:t>
      </w:r>
      <w:r>
        <w:rPr>
          <w:rStyle w:val="Appelnotedebasdep"/>
          <w:rFonts w:ascii="Simplified Arabic" w:hAnsi="Simplified Arabic" w:cs="Simplified Arabic"/>
          <w:sz w:val="32"/>
          <w:szCs w:val="32"/>
          <w:rtl/>
          <w:lang w:val="fr-FR" w:bidi="ar-TN"/>
        </w:rPr>
        <w:footnoteReference w:id="7"/>
      </w:r>
      <w:r>
        <w:rPr>
          <w:rFonts w:ascii="Simplified Arabic" w:hAnsi="Simplified Arabic" w:cs="Simplified Arabic" w:hint="cs"/>
          <w:sz w:val="32"/>
          <w:szCs w:val="32"/>
          <w:rtl/>
          <w:lang w:val="fr-FR" w:bidi="ar-TN"/>
        </w:rPr>
        <w:t xml:space="preserve"> .</w:t>
      </w:r>
      <w:proofErr w:type="gramEnd"/>
    </w:p>
    <w:p w14:paraId="21834D2E" w14:textId="77777777" w:rsidR="008F0FEA" w:rsidRPr="004044DC" w:rsidRDefault="008F0FEA" w:rsidP="008F0FEA">
      <w:pPr>
        <w:jc w:val="mediumKashida"/>
        <w:rPr>
          <w:rFonts w:ascii="Simplified Arabic" w:hAnsi="Simplified Arabic" w:cs="Simplified Arabic"/>
          <w:sz w:val="32"/>
          <w:szCs w:val="32"/>
          <w:rtl/>
          <w:lang w:val="fr-FR" w:bidi="ar-TN"/>
        </w:rPr>
      </w:pPr>
      <w:r>
        <w:rPr>
          <w:rFonts w:ascii="Simplified Arabic" w:hAnsi="Simplified Arabic" w:cs="Simplified Arabic" w:hint="cs"/>
          <w:sz w:val="32"/>
          <w:szCs w:val="32"/>
          <w:rtl/>
          <w:lang w:val="fr-FR" w:bidi="ar-TN"/>
        </w:rPr>
        <w:lastRenderedPageBreak/>
        <w:t xml:space="preserve">إن ما يمكن إن نثبته حول تداخل الأجناس الأدبية أن الأنواع الأدبية اليوم معظمها مهجنة وغير مقتصرة على التحديدات الكلاسيكية مثلما وقفنا على ذلك من خلال السيرة الأدبية والرحلة اللتين انفتحتا على أنواع أدبية أخرى تلبست مؤشراتها </w:t>
      </w:r>
      <w:proofErr w:type="spellStart"/>
      <w:r>
        <w:rPr>
          <w:rFonts w:ascii="Simplified Arabic" w:hAnsi="Simplified Arabic" w:cs="Simplified Arabic" w:hint="cs"/>
          <w:sz w:val="32"/>
          <w:szCs w:val="32"/>
          <w:rtl/>
          <w:lang w:val="fr-FR" w:bidi="ar-TN"/>
        </w:rPr>
        <w:t>الأجناسية</w:t>
      </w:r>
      <w:proofErr w:type="spellEnd"/>
      <w:r>
        <w:rPr>
          <w:rFonts w:ascii="Simplified Arabic" w:hAnsi="Simplified Arabic" w:cs="Simplified Arabic" w:hint="cs"/>
          <w:sz w:val="32"/>
          <w:szCs w:val="32"/>
          <w:rtl/>
          <w:lang w:val="fr-FR" w:bidi="ar-TN"/>
        </w:rPr>
        <w:t xml:space="preserve"> في عملية تفاعلية بينها تفتح الباب لظهور أو ميلاد أنواع أدبية أخرى.</w:t>
      </w:r>
    </w:p>
    <w:p w14:paraId="4534A2B8" w14:textId="77777777" w:rsidR="008F0FEA" w:rsidRPr="00F90681" w:rsidRDefault="008F0FEA" w:rsidP="008F0FEA">
      <w:pPr>
        <w:jc w:val="mediumKashida"/>
        <w:rPr>
          <w:rFonts w:ascii="Simplified Arabic" w:hAnsi="Simplified Arabic" w:cs="Simplified Arabic" w:hint="cs"/>
          <w:b/>
          <w:bCs/>
          <w:sz w:val="32"/>
          <w:szCs w:val="32"/>
          <w:rtl/>
          <w:lang w:val="fr-FR" w:bidi="ar-TN"/>
        </w:rPr>
      </w:pPr>
    </w:p>
    <w:p w14:paraId="7F474520" w14:textId="77777777" w:rsidR="0057279A" w:rsidRPr="00481168" w:rsidRDefault="0057279A" w:rsidP="00AB4054">
      <w:pPr>
        <w:jc w:val="mediumKashida"/>
        <w:rPr>
          <w:rFonts w:ascii="Simplified Arabic" w:hAnsi="Simplified Arabic" w:cs="Simplified Arabic"/>
          <w:b/>
          <w:bCs/>
          <w:sz w:val="32"/>
          <w:szCs w:val="32"/>
          <w:rtl/>
          <w:lang w:val="fr-FR" w:bidi="ar-TN"/>
        </w:rPr>
      </w:pPr>
      <w:bookmarkStart w:id="0" w:name="_GoBack"/>
      <w:bookmarkEnd w:id="0"/>
    </w:p>
    <w:sectPr w:rsidR="0057279A" w:rsidRPr="00481168" w:rsidSect="002735AC">
      <w:footnotePr>
        <w:numRestart w:val="eachPage"/>
      </w:footnotePr>
      <w:pgSz w:w="11906" w:h="16838"/>
      <w:pgMar w:top="1440" w:right="1440" w:bottom="1440" w:left="144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94E0737" w14:textId="77777777" w:rsidR="0025201B" w:rsidRDefault="0025201B" w:rsidP="00D13693">
      <w:pPr>
        <w:spacing w:after="0" w:line="240" w:lineRule="auto"/>
      </w:pPr>
      <w:r>
        <w:separator/>
      </w:r>
    </w:p>
  </w:endnote>
  <w:endnote w:type="continuationSeparator" w:id="0">
    <w:p w14:paraId="52EB03C6" w14:textId="77777777" w:rsidR="0025201B" w:rsidRDefault="0025201B" w:rsidP="00D136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D54152B" w14:textId="77777777" w:rsidR="0025201B" w:rsidRDefault="0025201B" w:rsidP="00D13693">
      <w:pPr>
        <w:spacing w:after="0" w:line="240" w:lineRule="auto"/>
      </w:pPr>
      <w:r>
        <w:separator/>
      </w:r>
    </w:p>
  </w:footnote>
  <w:footnote w:type="continuationSeparator" w:id="0">
    <w:p w14:paraId="53A5BE17" w14:textId="77777777" w:rsidR="0025201B" w:rsidRDefault="0025201B" w:rsidP="00D13693">
      <w:pPr>
        <w:spacing w:after="0" w:line="240" w:lineRule="auto"/>
      </w:pPr>
      <w:r>
        <w:continuationSeparator/>
      </w:r>
    </w:p>
  </w:footnote>
  <w:footnote w:id="1">
    <w:p w14:paraId="0F5351DA" w14:textId="77777777" w:rsidR="008F0FEA" w:rsidRPr="00985B70" w:rsidRDefault="008F0FEA" w:rsidP="008F0FEA">
      <w:pPr>
        <w:pStyle w:val="Notedebasdepage"/>
        <w:rPr>
          <w:rFonts w:ascii="Simplified Arabic" w:hAnsi="Simplified Arabic" w:cs="Simplified Arabic"/>
          <w:sz w:val="24"/>
          <w:szCs w:val="24"/>
          <w:lang w:bidi="ar-TN"/>
        </w:rPr>
      </w:pPr>
      <w:r w:rsidRPr="00985B70">
        <w:rPr>
          <w:rStyle w:val="Appelnotedebasdep"/>
          <w:rFonts w:ascii="Simplified Arabic" w:hAnsi="Simplified Arabic" w:cs="Simplified Arabic"/>
          <w:sz w:val="24"/>
          <w:szCs w:val="24"/>
        </w:rPr>
        <w:footnoteRef/>
      </w:r>
      <w:r w:rsidRPr="00985B70">
        <w:rPr>
          <w:rFonts w:ascii="Simplified Arabic" w:hAnsi="Simplified Arabic" w:cs="Simplified Arabic"/>
          <w:sz w:val="24"/>
          <w:szCs w:val="24"/>
          <w:rtl/>
        </w:rPr>
        <w:t xml:space="preserve"> </w:t>
      </w:r>
      <w:r w:rsidRPr="00985B70">
        <w:rPr>
          <w:rFonts w:ascii="Simplified Arabic" w:hAnsi="Simplified Arabic" w:cs="Simplified Arabic"/>
          <w:sz w:val="24"/>
          <w:szCs w:val="24"/>
          <w:rtl/>
          <w:lang w:bidi="ar-TN"/>
        </w:rPr>
        <w:t xml:space="preserve">-سامية بابا، السيرة الذاتية وتداخلها مع الأجناس الأدبية؛ دراسة في التأصيل والتشكيل، مجلة لغة-كلام، المجلد 9، العدد </w:t>
      </w:r>
      <w:proofErr w:type="spellStart"/>
      <w:r w:rsidRPr="00985B70">
        <w:rPr>
          <w:rFonts w:ascii="Simplified Arabic" w:hAnsi="Simplified Arabic" w:cs="Simplified Arabic"/>
          <w:sz w:val="24"/>
          <w:szCs w:val="24"/>
          <w:rtl/>
          <w:lang w:bidi="ar-TN"/>
        </w:rPr>
        <w:t>جانفي</w:t>
      </w:r>
      <w:proofErr w:type="spellEnd"/>
      <w:r w:rsidRPr="00985B70">
        <w:rPr>
          <w:rFonts w:ascii="Simplified Arabic" w:hAnsi="Simplified Arabic" w:cs="Simplified Arabic"/>
          <w:sz w:val="24"/>
          <w:szCs w:val="24"/>
          <w:rtl/>
          <w:lang w:bidi="ar-TN"/>
        </w:rPr>
        <w:t xml:space="preserve"> 2023، ص 134.</w:t>
      </w:r>
    </w:p>
  </w:footnote>
  <w:footnote w:id="2">
    <w:p w14:paraId="0A77C5FB" w14:textId="77777777" w:rsidR="008F0FEA" w:rsidRPr="00985B70" w:rsidRDefault="008F0FEA" w:rsidP="008F0FEA">
      <w:pPr>
        <w:pStyle w:val="Notedebasdepage"/>
        <w:rPr>
          <w:rFonts w:ascii="Simplified Arabic" w:hAnsi="Simplified Arabic" w:cs="Simplified Arabic"/>
          <w:sz w:val="24"/>
          <w:szCs w:val="24"/>
          <w:lang w:bidi="ar-TN"/>
        </w:rPr>
      </w:pPr>
      <w:r w:rsidRPr="00985B70">
        <w:rPr>
          <w:rStyle w:val="Appelnotedebasdep"/>
          <w:rFonts w:ascii="Simplified Arabic" w:hAnsi="Simplified Arabic" w:cs="Simplified Arabic"/>
          <w:sz w:val="24"/>
          <w:szCs w:val="24"/>
        </w:rPr>
        <w:footnoteRef/>
      </w:r>
      <w:r w:rsidRPr="00985B70">
        <w:rPr>
          <w:rFonts w:ascii="Simplified Arabic" w:hAnsi="Simplified Arabic" w:cs="Simplified Arabic"/>
          <w:sz w:val="24"/>
          <w:szCs w:val="24"/>
          <w:rtl/>
        </w:rPr>
        <w:t xml:space="preserve"> </w:t>
      </w:r>
      <w:r w:rsidRPr="00985B70">
        <w:rPr>
          <w:rFonts w:ascii="Simplified Arabic" w:hAnsi="Simplified Arabic" w:cs="Simplified Arabic"/>
          <w:sz w:val="24"/>
          <w:szCs w:val="24"/>
          <w:rtl/>
          <w:lang w:bidi="ar-TN"/>
        </w:rPr>
        <w:t>-المرجع نفسه، ص 135.</w:t>
      </w:r>
    </w:p>
  </w:footnote>
  <w:footnote w:id="3">
    <w:p w14:paraId="2FF2E0FC" w14:textId="77777777" w:rsidR="008F0FEA" w:rsidRPr="00985B70" w:rsidRDefault="008F0FEA" w:rsidP="008F0FEA">
      <w:pPr>
        <w:pStyle w:val="Notedebasdepage"/>
        <w:rPr>
          <w:rFonts w:ascii="Simplified Arabic" w:hAnsi="Simplified Arabic" w:cs="Simplified Arabic"/>
          <w:sz w:val="24"/>
          <w:szCs w:val="24"/>
          <w:lang w:bidi="ar-TN"/>
        </w:rPr>
      </w:pPr>
      <w:r w:rsidRPr="00985B70">
        <w:rPr>
          <w:rStyle w:val="Appelnotedebasdep"/>
          <w:rFonts w:ascii="Simplified Arabic" w:hAnsi="Simplified Arabic" w:cs="Simplified Arabic"/>
          <w:sz w:val="24"/>
          <w:szCs w:val="24"/>
        </w:rPr>
        <w:footnoteRef/>
      </w:r>
      <w:r w:rsidRPr="00985B70">
        <w:rPr>
          <w:rFonts w:ascii="Simplified Arabic" w:hAnsi="Simplified Arabic" w:cs="Simplified Arabic"/>
          <w:sz w:val="24"/>
          <w:szCs w:val="24"/>
          <w:rtl/>
        </w:rPr>
        <w:t xml:space="preserve"> </w:t>
      </w:r>
      <w:r w:rsidRPr="00985B70">
        <w:rPr>
          <w:rFonts w:ascii="Simplified Arabic" w:hAnsi="Simplified Arabic" w:cs="Simplified Arabic"/>
          <w:sz w:val="24"/>
          <w:szCs w:val="24"/>
          <w:rtl/>
          <w:lang w:bidi="ar-TN"/>
        </w:rPr>
        <w:t xml:space="preserve">-ميخائيل </w:t>
      </w:r>
      <w:proofErr w:type="spellStart"/>
      <w:r w:rsidRPr="00985B70">
        <w:rPr>
          <w:rFonts w:ascii="Simplified Arabic" w:hAnsi="Simplified Arabic" w:cs="Simplified Arabic"/>
          <w:sz w:val="24"/>
          <w:szCs w:val="24"/>
          <w:rtl/>
          <w:lang w:bidi="ar-TN"/>
        </w:rPr>
        <w:t>باختين</w:t>
      </w:r>
      <w:proofErr w:type="spellEnd"/>
      <w:r w:rsidRPr="00985B70">
        <w:rPr>
          <w:rFonts w:ascii="Simplified Arabic" w:hAnsi="Simplified Arabic" w:cs="Simplified Arabic"/>
          <w:sz w:val="24"/>
          <w:szCs w:val="24"/>
          <w:rtl/>
          <w:lang w:bidi="ar-TN"/>
        </w:rPr>
        <w:t>، الخطاب الروائي، ترجمة محمد برادة، دار الفكر، القاهرة، الطبعة الأولى، 1987، ص 12.</w:t>
      </w:r>
    </w:p>
  </w:footnote>
  <w:footnote w:id="4">
    <w:p w14:paraId="13AE033C" w14:textId="77777777" w:rsidR="008F0FEA" w:rsidRPr="00985B70" w:rsidRDefault="008F0FEA" w:rsidP="008F0FEA">
      <w:pPr>
        <w:pStyle w:val="Notedebasdepage"/>
        <w:rPr>
          <w:rFonts w:ascii="Simplified Arabic" w:hAnsi="Simplified Arabic" w:cs="Simplified Arabic"/>
          <w:sz w:val="24"/>
          <w:szCs w:val="24"/>
          <w:lang w:bidi="ar-TN"/>
        </w:rPr>
      </w:pPr>
      <w:r w:rsidRPr="00985B70">
        <w:rPr>
          <w:rStyle w:val="Appelnotedebasdep"/>
          <w:rFonts w:ascii="Simplified Arabic" w:hAnsi="Simplified Arabic" w:cs="Simplified Arabic"/>
          <w:sz w:val="24"/>
          <w:szCs w:val="24"/>
        </w:rPr>
        <w:footnoteRef/>
      </w:r>
      <w:r w:rsidRPr="00985B70">
        <w:rPr>
          <w:rFonts w:ascii="Simplified Arabic" w:hAnsi="Simplified Arabic" w:cs="Simplified Arabic"/>
          <w:sz w:val="24"/>
          <w:szCs w:val="24"/>
          <w:rtl/>
        </w:rPr>
        <w:t xml:space="preserve"> </w:t>
      </w:r>
      <w:r w:rsidRPr="00985B70">
        <w:rPr>
          <w:rFonts w:ascii="Simplified Arabic" w:hAnsi="Simplified Arabic" w:cs="Simplified Arabic"/>
          <w:sz w:val="24"/>
          <w:szCs w:val="24"/>
          <w:rtl/>
          <w:lang w:bidi="ar-TN"/>
        </w:rPr>
        <w:t xml:space="preserve">-حسن لشكر، عبد الغني بوطيب، التداخل بين الأدب والفنون الأخرى، أوراق المؤتمر الدولي </w:t>
      </w:r>
    </w:p>
  </w:footnote>
  <w:footnote w:id="5">
    <w:p w14:paraId="15BEC68D" w14:textId="77777777" w:rsidR="008F0FEA" w:rsidRPr="00985B70" w:rsidRDefault="008F0FEA" w:rsidP="008F0FEA">
      <w:pPr>
        <w:pStyle w:val="Notedebasdepage"/>
        <w:rPr>
          <w:rFonts w:ascii="Simplified Arabic" w:hAnsi="Simplified Arabic" w:cs="Simplified Arabic"/>
          <w:sz w:val="24"/>
          <w:szCs w:val="24"/>
        </w:rPr>
      </w:pPr>
      <w:r w:rsidRPr="00985B70">
        <w:rPr>
          <w:rStyle w:val="Appelnotedebasdep"/>
          <w:rFonts w:ascii="Simplified Arabic" w:hAnsi="Simplified Arabic" w:cs="Simplified Arabic"/>
          <w:sz w:val="24"/>
          <w:szCs w:val="24"/>
        </w:rPr>
        <w:footnoteRef/>
      </w:r>
      <w:r w:rsidRPr="00985B70">
        <w:rPr>
          <w:rFonts w:ascii="Simplified Arabic" w:hAnsi="Simplified Arabic" w:cs="Simplified Arabic"/>
          <w:sz w:val="24"/>
          <w:szCs w:val="24"/>
          <w:rtl/>
        </w:rPr>
        <w:t xml:space="preserve"> -مجدي وهبة وكامل المهندس؛ معجم المصطلحات العربية في اللغة والأدب، الطبعة الثانية، 1984، ص 16.</w:t>
      </w:r>
    </w:p>
  </w:footnote>
  <w:footnote w:id="6">
    <w:p w14:paraId="52D3DA13" w14:textId="77777777" w:rsidR="008F0FEA" w:rsidRPr="00985B70" w:rsidRDefault="008F0FEA" w:rsidP="008F0FEA">
      <w:pPr>
        <w:pStyle w:val="Notedebasdepage"/>
        <w:rPr>
          <w:rFonts w:ascii="Simplified Arabic" w:hAnsi="Simplified Arabic" w:cs="Simplified Arabic"/>
          <w:sz w:val="24"/>
          <w:szCs w:val="24"/>
          <w:lang w:bidi="ar-TN"/>
        </w:rPr>
      </w:pPr>
      <w:r w:rsidRPr="00985B70">
        <w:rPr>
          <w:rStyle w:val="Appelnotedebasdep"/>
          <w:rFonts w:ascii="Simplified Arabic" w:hAnsi="Simplified Arabic" w:cs="Simplified Arabic"/>
          <w:sz w:val="24"/>
          <w:szCs w:val="24"/>
        </w:rPr>
        <w:footnoteRef/>
      </w:r>
      <w:r w:rsidRPr="00985B70">
        <w:rPr>
          <w:rFonts w:ascii="Simplified Arabic" w:hAnsi="Simplified Arabic" w:cs="Simplified Arabic"/>
          <w:sz w:val="24"/>
          <w:szCs w:val="24"/>
          <w:rtl/>
        </w:rPr>
        <w:t xml:space="preserve"> </w:t>
      </w:r>
      <w:r w:rsidRPr="00985B70">
        <w:rPr>
          <w:rFonts w:ascii="Simplified Arabic" w:hAnsi="Simplified Arabic" w:cs="Simplified Arabic"/>
          <w:sz w:val="24"/>
          <w:szCs w:val="24"/>
          <w:rtl/>
          <w:lang w:bidi="ar-TN"/>
        </w:rPr>
        <w:t>-السعيد الورقي، الرواية العربية المعاصرة، دار المعرفة الجامعية، الإسكندرية، مصر، 2014، ص 19.</w:t>
      </w:r>
    </w:p>
  </w:footnote>
  <w:footnote w:id="7">
    <w:p w14:paraId="2461F65A" w14:textId="77777777" w:rsidR="008F0FEA" w:rsidRPr="00985B70" w:rsidRDefault="008F0FEA" w:rsidP="008F0FEA">
      <w:pPr>
        <w:pStyle w:val="Notedebasdepage"/>
        <w:rPr>
          <w:rFonts w:ascii="Simplified Arabic" w:hAnsi="Simplified Arabic" w:cs="Simplified Arabic"/>
          <w:sz w:val="24"/>
          <w:szCs w:val="24"/>
          <w:lang w:bidi="ar-TN"/>
        </w:rPr>
      </w:pPr>
      <w:r w:rsidRPr="00985B70">
        <w:rPr>
          <w:rStyle w:val="Appelnotedebasdep"/>
          <w:rFonts w:ascii="Simplified Arabic" w:hAnsi="Simplified Arabic" w:cs="Simplified Arabic"/>
          <w:sz w:val="24"/>
          <w:szCs w:val="24"/>
        </w:rPr>
        <w:footnoteRef/>
      </w:r>
      <w:r w:rsidRPr="00985B70">
        <w:rPr>
          <w:rFonts w:ascii="Simplified Arabic" w:hAnsi="Simplified Arabic" w:cs="Simplified Arabic"/>
          <w:sz w:val="24"/>
          <w:szCs w:val="24"/>
          <w:rtl/>
        </w:rPr>
        <w:t xml:space="preserve"> </w:t>
      </w:r>
      <w:r w:rsidRPr="00985B70">
        <w:rPr>
          <w:rFonts w:ascii="Simplified Arabic" w:hAnsi="Simplified Arabic" w:cs="Simplified Arabic"/>
          <w:sz w:val="24"/>
          <w:szCs w:val="24"/>
          <w:rtl/>
          <w:lang w:bidi="ar-TN"/>
        </w:rPr>
        <w:t>-فؤاد قنديل، أدب الرحلة في التراث العربي، مكتبة الدار العربية للكتاب، الطبعة الأولى، 2001، ص 13</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6EF5845"/>
    <w:multiLevelType w:val="multilevel"/>
    <w:tmpl w:val="1ECCC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8305429"/>
    <w:multiLevelType w:val="multilevel"/>
    <w:tmpl w:val="FE9094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7817"/>
    <w:rsid w:val="00000366"/>
    <w:rsid w:val="000147F1"/>
    <w:rsid w:val="00017B67"/>
    <w:rsid w:val="00021D67"/>
    <w:rsid w:val="00022CD5"/>
    <w:rsid w:val="0002380F"/>
    <w:rsid w:val="00025BEC"/>
    <w:rsid w:val="0003098D"/>
    <w:rsid w:val="00031D41"/>
    <w:rsid w:val="00035C1C"/>
    <w:rsid w:val="00035FE5"/>
    <w:rsid w:val="0004344A"/>
    <w:rsid w:val="00053151"/>
    <w:rsid w:val="000542B7"/>
    <w:rsid w:val="00061969"/>
    <w:rsid w:val="00063B7F"/>
    <w:rsid w:val="00070E8A"/>
    <w:rsid w:val="00074E16"/>
    <w:rsid w:val="000770ED"/>
    <w:rsid w:val="000800F1"/>
    <w:rsid w:val="00081CFD"/>
    <w:rsid w:val="00082CA9"/>
    <w:rsid w:val="00087E04"/>
    <w:rsid w:val="000926B7"/>
    <w:rsid w:val="00093796"/>
    <w:rsid w:val="000A2712"/>
    <w:rsid w:val="000A394F"/>
    <w:rsid w:val="000A4A74"/>
    <w:rsid w:val="000A69F4"/>
    <w:rsid w:val="000B3A56"/>
    <w:rsid w:val="000C4D10"/>
    <w:rsid w:val="000C67EA"/>
    <w:rsid w:val="000D0217"/>
    <w:rsid w:val="000D61F4"/>
    <w:rsid w:val="000E6EF1"/>
    <w:rsid w:val="000F1040"/>
    <w:rsid w:val="00103511"/>
    <w:rsid w:val="00103CAB"/>
    <w:rsid w:val="00110196"/>
    <w:rsid w:val="00115DC2"/>
    <w:rsid w:val="0011721E"/>
    <w:rsid w:val="00123A75"/>
    <w:rsid w:val="00126082"/>
    <w:rsid w:val="00137CDA"/>
    <w:rsid w:val="001405AD"/>
    <w:rsid w:val="00141624"/>
    <w:rsid w:val="00151320"/>
    <w:rsid w:val="00160BD9"/>
    <w:rsid w:val="00164333"/>
    <w:rsid w:val="00184B12"/>
    <w:rsid w:val="00185C7F"/>
    <w:rsid w:val="0018738B"/>
    <w:rsid w:val="001A0568"/>
    <w:rsid w:val="001A1893"/>
    <w:rsid w:val="001A1C3A"/>
    <w:rsid w:val="001A4868"/>
    <w:rsid w:val="001A48E4"/>
    <w:rsid w:val="001B0A81"/>
    <w:rsid w:val="001B5CC2"/>
    <w:rsid w:val="001C4F19"/>
    <w:rsid w:val="001C5D0E"/>
    <w:rsid w:val="001C5D45"/>
    <w:rsid w:val="001D4A4D"/>
    <w:rsid w:val="001D5B6F"/>
    <w:rsid w:val="001D5FA2"/>
    <w:rsid w:val="001D748D"/>
    <w:rsid w:val="001E0274"/>
    <w:rsid w:val="001E0B4D"/>
    <w:rsid w:val="001E102F"/>
    <w:rsid w:val="001E726D"/>
    <w:rsid w:val="001F5B04"/>
    <w:rsid w:val="001F6141"/>
    <w:rsid w:val="001F6908"/>
    <w:rsid w:val="0021564E"/>
    <w:rsid w:val="0021578F"/>
    <w:rsid w:val="002161DC"/>
    <w:rsid w:val="00230F0D"/>
    <w:rsid w:val="002317A9"/>
    <w:rsid w:val="00236535"/>
    <w:rsid w:val="00236B46"/>
    <w:rsid w:val="002370CE"/>
    <w:rsid w:val="00241BD7"/>
    <w:rsid w:val="00242282"/>
    <w:rsid w:val="00246620"/>
    <w:rsid w:val="0025201B"/>
    <w:rsid w:val="00252A7F"/>
    <w:rsid w:val="00255E12"/>
    <w:rsid w:val="00261765"/>
    <w:rsid w:val="0026192C"/>
    <w:rsid w:val="00265CD4"/>
    <w:rsid w:val="002735AC"/>
    <w:rsid w:val="002737F5"/>
    <w:rsid w:val="0027712F"/>
    <w:rsid w:val="0027737F"/>
    <w:rsid w:val="00282136"/>
    <w:rsid w:val="00283400"/>
    <w:rsid w:val="00290ADC"/>
    <w:rsid w:val="00297674"/>
    <w:rsid w:val="002A00F0"/>
    <w:rsid w:val="002A0E07"/>
    <w:rsid w:val="002A2EFE"/>
    <w:rsid w:val="002A4E07"/>
    <w:rsid w:val="002B0C7A"/>
    <w:rsid w:val="002B319B"/>
    <w:rsid w:val="002B4B56"/>
    <w:rsid w:val="002C2855"/>
    <w:rsid w:val="002D00B2"/>
    <w:rsid w:val="002D03F0"/>
    <w:rsid w:val="002D44D3"/>
    <w:rsid w:val="002E010E"/>
    <w:rsid w:val="002E257C"/>
    <w:rsid w:val="002F13BB"/>
    <w:rsid w:val="002F3FCF"/>
    <w:rsid w:val="002F7C47"/>
    <w:rsid w:val="00303665"/>
    <w:rsid w:val="003103BD"/>
    <w:rsid w:val="0031173F"/>
    <w:rsid w:val="0032069D"/>
    <w:rsid w:val="0032468E"/>
    <w:rsid w:val="00330FA5"/>
    <w:rsid w:val="00331F47"/>
    <w:rsid w:val="003331A7"/>
    <w:rsid w:val="00333D2E"/>
    <w:rsid w:val="00336038"/>
    <w:rsid w:val="00350C84"/>
    <w:rsid w:val="003510B6"/>
    <w:rsid w:val="00353663"/>
    <w:rsid w:val="00354347"/>
    <w:rsid w:val="00356897"/>
    <w:rsid w:val="0035748F"/>
    <w:rsid w:val="003600B4"/>
    <w:rsid w:val="00361A9C"/>
    <w:rsid w:val="00362965"/>
    <w:rsid w:val="0036422B"/>
    <w:rsid w:val="0036483C"/>
    <w:rsid w:val="0036504F"/>
    <w:rsid w:val="003674B8"/>
    <w:rsid w:val="00367976"/>
    <w:rsid w:val="00370718"/>
    <w:rsid w:val="0038165B"/>
    <w:rsid w:val="00385F42"/>
    <w:rsid w:val="00391561"/>
    <w:rsid w:val="003A0375"/>
    <w:rsid w:val="003A5D5C"/>
    <w:rsid w:val="003B00A3"/>
    <w:rsid w:val="003B4D36"/>
    <w:rsid w:val="003B53F0"/>
    <w:rsid w:val="003B76F3"/>
    <w:rsid w:val="003C430A"/>
    <w:rsid w:val="003D0951"/>
    <w:rsid w:val="003D0A3C"/>
    <w:rsid w:val="003D5FCB"/>
    <w:rsid w:val="003D6C41"/>
    <w:rsid w:val="003D747A"/>
    <w:rsid w:val="003D750D"/>
    <w:rsid w:val="003E65F6"/>
    <w:rsid w:val="003F05C4"/>
    <w:rsid w:val="003F4F19"/>
    <w:rsid w:val="003F63DE"/>
    <w:rsid w:val="00400531"/>
    <w:rsid w:val="004006F4"/>
    <w:rsid w:val="00402A5D"/>
    <w:rsid w:val="00402AE0"/>
    <w:rsid w:val="00403769"/>
    <w:rsid w:val="0041365B"/>
    <w:rsid w:val="004146FC"/>
    <w:rsid w:val="0041645C"/>
    <w:rsid w:val="004203F4"/>
    <w:rsid w:val="00432881"/>
    <w:rsid w:val="00437A35"/>
    <w:rsid w:val="00441F5B"/>
    <w:rsid w:val="00442599"/>
    <w:rsid w:val="00457622"/>
    <w:rsid w:val="004626EE"/>
    <w:rsid w:val="004645E1"/>
    <w:rsid w:val="00471CA4"/>
    <w:rsid w:val="00475BB5"/>
    <w:rsid w:val="00481168"/>
    <w:rsid w:val="00483C42"/>
    <w:rsid w:val="004852EB"/>
    <w:rsid w:val="0049008C"/>
    <w:rsid w:val="00493031"/>
    <w:rsid w:val="00494E3C"/>
    <w:rsid w:val="004A3EF9"/>
    <w:rsid w:val="004A76A8"/>
    <w:rsid w:val="004B126D"/>
    <w:rsid w:val="004B7D80"/>
    <w:rsid w:val="004C3AAE"/>
    <w:rsid w:val="004C3CA1"/>
    <w:rsid w:val="004C49A9"/>
    <w:rsid w:val="004D3F0A"/>
    <w:rsid w:val="004D7B19"/>
    <w:rsid w:val="004E2C71"/>
    <w:rsid w:val="004E3F8E"/>
    <w:rsid w:val="004E6BDF"/>
    <w:rsid w:val="004E7817"/>
    <w:rsid w:val="004E7C3E"/>
    <w:rsid w:val="004F1083"/>
    <w:rsid w:val="004F5A19"/>
    <w:rsid w:val="00501DA1"/>
    <w:rsid w:val="00511F2B"/>
    <w:rsid w:val="005253BD"/>
    <w:rsid w:val="005256F6"/>
    <w:rsid w:val="00530404"/>
    <w:rsid w:val="00536C86"/>
    <w:rsid w:val="00540AE1"/>
    <w:rsid w:val="00541CE5"/>
    <w:rsid w:val="005451BC"/>
    <w:rsid w:val="005469D6"/>
    <w:rsid w:val="00547E4B"/>
    <w:rsid w:val="00552264"/>
    <w:rsid w:val="00553211"/>
    <w:rsid w:val="00553C7F"/>
    <w:rsid w:val="00560A35"/>
    <w:rsid w:val="00563602"/>
    <w:rsid w:val="00565D0F"/>
    <w:rsid w:val="0057279A"/>
    <w:rsid w:val="00587C73"/>
    <w:rsid w:val="00595671"/>
    <w:rsid w:val="005A0480"/>
    <w:rsid w:val="005A129D"/>
    <w:rsid w:val="005A3D60"/>
    <w:rsid w:val="005A4424"/>
    <w:rsid w:val="005B17E1"/>
    <w:rsid w:val="005B7A52"/>
    <w:rsid w:val="005C26D4"/>
    <w:rsid w:val="005C7030"/>
    <w:rsid w:val="005D6447"/>
    <w:rsid w:val="005E1452"/>
    <w:rsid w:val="005E31E7"/>
    <w:rsid w:val="005E667E"/>
    <w:rsid w:val="005E6BD4"/>
    <w:rsid w:val="005E77BE"/>
    <w:rsid w:val="005F0E08"/>
    <w:rsid w:val="005F48DD"/>
    <w:rsid w:val="00600E6C"/>
    <w:rsid w:val="00601290"/>
    <w:rsid w:val="0060621F"/>
    <w:rsid w:val="00606327"/>
    <w:rsid w:val="006209F7"/>
    <w:rsid w:val="00626B10"/>
    <w:rsid w:val="0062793D"/>
    <w:rsid w:val="00634C9E"/>
    <w:rsid w:val="00636AE2"/>
    <w:rsid w:val="006404B1"/>
    <w:rsid w:val="006428C4"/>
    <w:rsid w:val="006567B0"/>
    <w:rsid w:val="006641F3"/>
    <w:rsid w:val="00666563"/>
    <w:rsid w:val="00675457"/>
    <w:rsid w:val="00682374"/>
    <w:rsid w:val="00684199"/>
    <w:rsid w:val="00684F24"/>
    <w:rsid w:val="0068660E"/>
    <w:rsid w:val="006A11A9"/>
    <w:rsid w:val="006A2DB6"/>
    <w:rsid w:val="006A44DD"/>
    <w:rsid w:val="006A4FC3"/>
    <w:rsid w:val="006A6CAC"/>
    <w:rsid w:val="006B0C45"/>
    <w:rsid w:val="006B4FDB"/>
    <w:rsid w:val="006C6298"/>
    <w:rsid w:val="006D4B35"/>
    <w:rsid w:val="006E2757"/>
    <w:rsid w:val="006E4B77"/>
    <w:rsid w:val="006F38D5"/>
    <w:rsid w:val="006F4834"/>
    <w:rsid w:val="007065AB"/>
    <w:rsid w:val="007136C1"/>
    <w:rsid w:val="00713A8E"/>
    <w:rsid w:val="007142CD"/>
    <w:rsid w:val="007167DA"/>
    <w:rsid w:val="007172F5"/>
    <w:rsid w:val="00725AFF"/>
    <w:rsid w:val="00736247"/>
    <w:rsid w:val="0074479F"/>
    <w:rsid w:val="0075024B"/>
    <w:rsid w:val="00752A29"/>
    <w:rsid w:val="00753088"/>
    <w:rsid w:val="007530D1"/>
    <w:rsid w:val="007549B3"/>
    <w:rsid w:val="00756105"/>
    <w:rsid w:val="00781F3B"/>
    <w:rsid w:val="00791234"/>
    <w:rsid w:val="00794C79"/>
    <w:rsid w:val="007A0B31"/>
    <w:rsid w:val="007A0FEB"/>
    <w:rsid w:val="007A7094"/>
    <w:rsid w:val="007A7F05"/>
    <w:rsid w:val="007C1157"/>
    <w:rsid w:val="007C2401"/>
    <w:rsid w:val="007D589B"/>
    <w:rsid w:val="007E446D"/>
    <w:rsid w:val="007F24BC"/>
    <w:rsid w:val="007F2A8E"/>
    <w:rsid w:val="007F421A"/>
    <w:rsid w:val="007F6902"/>
    <w:rsid w:val="007F6A0F"/>
    <w:rsid w:val="008101A5"/>
    <w:rsid w:val="008108F6"/>
    <w:rsid w:val="00813CF8"/>
    <w:rsid w:val="00817D89"/>
    <w:rsid w:val="0082090F"/>
    <w:rsid w:val="008227E5"/>
    <w:rsid w:val="00823D83"/>
    <w:rsid w:val="00824394"/>
    <w:rsid w:val="0082648B"/>
    <w:rsid w:val="00830F80"/>
    <w:rsid w:val="00846647"/>
    <w:rsid w:val="00846E5E"/>
    <w:rsid w:val="008576CB"/>
    <w:rsid w:val="008603FE"/>
    <w:rsid w:val="00860FC6"/>
    <w:rsid w:val="00863B17"/>
    <w:rsid w:val="008728FE"/>
    <w:rsid w:val="00874778"/>
    <w:rsid w:val="0088369D"/>
    <w:rsid w:val="00885B5A"/>
    <w:rsid w:val="00891691"/>
    <w:rsid w:val="008B1909"/>
    <w:rsid w:val="008B21BE"/>
    <w:rsid w:val="008B22AF"/>
    <w:rsid w:val="008B78ED"/>
    <w:rsid w:val="008C0CE6"/>
    <w:rsid w:val="008C2DC2"/>
    <w:rsid w:val="008C7613"/>
    <w:rsid w:val="008D662F"/>
    <w:rsid w:val="008E0BF6"/>
    <w:rsid w:val="008E2E57"/>
    <w:rsid w:val="008E5B1D"/>
    <w:rsid w:val="008E6160"/>
    <w:rsid w:val="008E73EB"/>
    <w:rsid w:val="008E7D2E"/>
    <w:rsid w:val="008F0FEA"/>
    <w:rsid w:val="008F2B1E"/>
    <w:rsid w:val="00900AEE"/>
    <w:rsid w:val="00901114"/>
    <w:rsid w:val="00905227"/>
    <w:rsid w:val="00907186"/>
    <w:rsid w:val="0091120C"/>
    <w:rsid w:val="009121EE"/>
    <w:rsid w:val="00912579"/>
    <w:rsid w:val="009152D5"/>
    <w:rsid w:val="00916122"/>
    <w:rsid w:val="00924D3C"/>
    <w:rsid w:val="00927129"/>
    <w:rsid w:val="00927E35"/>
    <w:rsid w:val="00931935"/>
    <w:rsid w:val="00936B39"/>
    <w:rsid w:val="00953543"/>
    <w:rsid w:val="009611F0"/>
    <w:rsid w:val="00962BF7"/>
    <w:rsid w:val="009634D9"/>
    <w:rsid w:val="009643FF"/>
    <w:rsid w:val="00971361"/>
    <w:rsid w:val="00972900"/>
    <w:rsid w:val="00972C10"/>
    <w:rsid w:val="00975291"/>
    <w:rsid w:val="00976693"/>
    <w:rsid w:val="0097705A"/>
    <w:rsid w:val="009833CB"/>
    <w:rsid w:val="00985B20"/>
    <w:rsid w:val="009928E5"/>
    <w:rsid w:val="00993E11"/>
    <w:rsid w:val="009952AD"/>
    <w:rsid w:val="00995FFD"/>
    <w:rsid w:val="009A0414"/>
    <w:rsid w:val="009A3445"/>
    <w:rsid w:val="009A6917"/>
    <w:rsid w:val="009B50EA"/>
    <w:rsid w:val="009B6645"/>
    <w:rsid w:val="009C06AD"/>
    <w:rsid w:val="009C228C"/>
    <w:rsid w:val="009C4C16"/>
    <w:rsid w:val="009C56F2"/>
    <w:rsid w:val="009C7401"/>
    <w:rsid w:val="009D1D19"/>
    <w:rsid w:val="009D1F41"/>
    <w:rsid w:val="009D3F70"/>
    <w:rsid w:val="009D431E"/>
    <w:rsid w:val="009E18F3"/>
    <w:rsid w:val="009E2D9D"/>
    <w:rsid w:val="009F2C86"/>
    <w:rsid w:val="009F42AD"/>
    <w:rsid w:val="00A00043"/>
    <w:rsid w:val="00A05052"/>
    <w:rsid w:val="00A06CDD"/>
    <w:rsid w:val="00A0735E"/>
    <w:rsid w:val="00A12D11"/>
    <w:rsid w:val="00A1651F"/>
    <w:rsid w:val="00A21479"/>
    <w:rsid w:val="00A237F5"/>
    <w:rsid w:val="00A25848"/>
    <w:rsid w:val="00A33A51"/>
    <w:rsid w:val="00A35291"/>
    <w:rsid w:val="00A42AEB"/>
    <w:rsid w:val="00A44562"/>
    <w:rsid w:val="00A45C8F"/>
    <w:rsid w:val="00A47BDE"/>
    <w:rsid w:val="00A54BC0"/>
    <w:rsid w:val="00A56C25"/>
    <w:rsid w:val="00A60839"/>
    <w:rsid w:val="00A64A76"/>
    <w:rsid w:val="00A6624B"/>
    <w:rsid w:val="00A701BF"/>
    <w:rsid w:val="00A71F2C"/>
    <w:rsid w:val="00A76DE6"/>
    <w:rsid w:val="00A80FE8"/>
    <w:rsid w:val="00A812EE"/>
    <w:rsid w:val="00A822CD"/>
    <w:rsid w:val="00A85A6C"/>
    <w:rsid w:val="00A91856"/>
    <w:rsid w:val="00A91DBA"/>
    <w:rsid w:val="00A939E9"/>
    <w:rsid w:val="00A947B9"/>
    <w:rsid w:val="00A95321"/>
    <w:rsid w:val="00A96A27"/>
    <w:rsid w:val="00A97AC5"/>
    <w:rsid w:val="00AA44F1"/>
    <w:rsid w:val="00AB4054"/>
    <w:rsid w:val="00AB48BA"/>
    <w:rsid w:val="00AB7784"/>
    <w:rsid w:val="00AC0E7D"/>
    <w:rsid w:val="00AC5B95"/>
    <w:rsid w:val="00AD03FE"/>
    <w:rsid w:val="00AD6685"/>
    <w:rsid w:val="00AE059F"/>
    <w:rsid w:val="00AE2219"/>
    <w:rsid w:val="00AF1D69"/>
    <w:rsid w:val="00AF2C3B"/>
    <w:rsid w:val="00AF6B07"/>
    <w:rsid w:val="00B013A8"/>
    <w:rsid w:val="00B0275F"/>
    <w:rsid w:val="00B17823"/>
    <w:rsid w:val="00B24028"/>
    <w:rsid w:val="00B272CD"/>
    <w:rsid w:val="00B32C5C"/>
    <w:rsid w:val="00B37680"/>
    <w:rsid w:val="00B3771E"/>
    <w:rsid w:val="00B41CA4"/>
    <w:rsid w:val="00B439DD"/>
    <w:rsid w:val="00B47C7C"/>
    <w:rsid w:val="00B5148F"/>
    <w:rsid w:val="00B5277F"/>
    <w:rsid w:val="00B55B7E"/>
    <w:rsid w:val="00B57B8D"/>
    <w:rsid w:val="00B6371B"/>
    <w:rsid w:val="00B75090"/>
    <w:rsid w:val="00B77CF1"/>
    <w:rsid w:val="00B867FB"/>
    <w:rsid w:val="00B930B2"/>
    <w:rsid w:val="00B9368C"/>
    <w:rsid w:val="00BA1EEE"/>
    <w:rsid w:val="00BA31DE"/>
    <w:rsid w:val="00BA388E"/>
    <w:rsid w:val="00BB3227"/>
    <w:rsid w:val="00BC3D92"/>
    <w:rsid w:val="00BC5C27"/>
    <w:rsid w:val="00BD1BC5"/>
    <w:rsid w:val="00BD1D28"/>
    <w:rsid w:val="00BD7526"/>
    <w:rsid w:val="00BD76E2"/>
    <w:rsid w:val="00BE07AF"/>
    <w:rsid w:val="00BF37A9"/>
    <w:rsid w:val="00C0014D"/>
    <w:rsid w:val="00C04518"/>
    <w:rsid w:val="00C10DDD"/>
    <w:rsid w:val="00C11348"/>
    <w:rsid w:val="00C205C4"/>
    <w:rsid w:val="00C23521"/>
    <w:rsid w:val="00C308F7"/>
    <w:rsid w:val="00C40B35"/>
    <w:rsid w:val="00C40FB9"/>
    <w:rsid w:val="00C44F47"/>
    <w:rsid w:val="00C5030A"/>
    <w:rsid w:val="00C51C59"/>
    <w:rsid w:val="00C52363"/>
    <w:rsid w:val="00C5386E"/>
    <w:rsid w:val="00C54379"/>
    <w:rsid w:val="00C72EFA"/>
    <w:rsid w:val="00C7564E"/>
    <w:rsid w:val="00C83158"/>
    <w:rsid w:val="00C83985"/>
    <w:rsid w:val="00C85A7F"/>
    <w:rsid w:val="00C87DEB"/>
    <w:rsid w:val="00C91041"/>
    <w:rsid w:val="00C96C07"/>
    <w:rsid w:val="00CA2C82"/>
    <w:rsid w:val="00CA7C2A"/>
    <w:rsid w:val="00CB5D5E"/>
    <w:rsid w:val="00CB641C"/>
    <w:rsid w:val="00CC2EED"/>
    <w:rsid w:val="00CC3B41"/>
    <w:rsid w:val="00CD6C90"/>
    <w:rsid w:val="00CE45ED"/>
    <w:rsid w:val="00CE5D07"/>
    <w:rsid w:val="00CF3A91"/>
    <w:rsid w:val="00CF51A2"/>
    <w:rsid w:val="00CF6221"/>
    <w:rsid w:val="00D04DA9"/>
    <w:rsid w:val="00D06D8A"/>
    <w:rsid w:val="00D07839"/>
    <w:rsid w:val="00D07A57"/>
    <w:rsid w:val="00D07BB7"/>
    <w:rsid w:val="00D128CF"/>
    <w:rsid w:val="00D13693"/>
    <w:rsid w:val="00D20BD2"/>
    <w:rsid w:val="00D24B0F"/>
    <w:rsid w:val="00D3281E"/>
    <w:rsid w:val="00D339E7"/>
    <w:rsid w:val="00D418DD"/>
    <w:rsid w:val="00D42282"/>
    <w:rsid w:val="00D43108"/>
    <w:rsid w:val="00D43713"/>
    <w:rsid w:val="00D44CB8"/>
    <w:rsid w:val="00D50F52"/>
    <w:rsid w:val="00D558A1"/>
    <w:rsid w:val="00D5730B"/>
    <w:rsid w:val="00D6041F"/>
    <w:rsid w:val="00D631D4"/>
    <w:rsid w:val="00D73124"/>
    <w:rsid w:val="00D76A2F"/>
    <w:rsid w:val="00D8168A"/>
    <w:rsid w:val="00D901C9"/>
    <w:rsid w:val="00D9030A"/>
    <w:rsid w:val="00D94D07"/>
    <w:rsid w:val="00D95371"/>
    <w:rsid w:val="00D97563"/>
    <w:rsid w:val="00DB27DA"/>
    <w:rsid w:val="00DC1333"/>
    <w:rsid w:val="00DC4E02"/>
    <w:rsid w:val="00DC5012"/>
    <w:rsid w:val="00DD2442"/>
    <w:rsid w:val="00DD60E1"/>
    <w:rsid w:val="00DE0C2F"/>
    <w:rsid w:val="00DE3504"/>
    <w:rsid w:val="00DE6EAD"/>
    <w:rsid w:val="00DE721D"/>
    <w:rsid w:val="00E02BDF"/>
    <w:rsid w:val="00E02BFD"/>
    <w:rsid w:val="00E10E6A"/>
    <w:rsid w:val="00E13B65"/>
    <w:rsid w:val="00E218C3"/>
    <w:rsid w:val="00E44B9E"/>
    <w:rsid w:val="00E46641"/>
    <w:rsid w:val="00E5594B"/>
    <w:rsid w:val="00E56DF3"/>
    <w:rsid w:val="00E60C93"/>
    <w:rsid w:val="00E615F6"/>
    <w:rsid w:val="00E71007"/>
    <w:rsid w:val="00E80885"/>
    <w:rsid w:val="00E8177F"/>
    <w:rsid w:val="00E92C56"/>
    <w:rsid w:val="00E96390"/>
    <w:rsid w:val="00E9663C"/>
    <w:rsid w:val="00E96AB5"/>
    <w:rsid w:val="00EB1C00"/>
    <w:rsid w:val="00EB3428"/>
    <w:rsid w:val="00EB707A"/>
    <w:rsid w:val="00EC034B"/>
    <w:rsid w:val="00EC164E"/>
    <w:rsid w:val="00EC4B92"/>
    <w:rsid w:val="00EC6F95"/>
    <w:rsid w:val="00EF2A88"/>
    <w:rsid w:val="00EF3188"/>
    <w:rsid w:val="00EF359F"/>
    <w:rsid w:val="00F010FE"/>
    <w:rsid w:val="00F03D9B"/>
    <w:rsid w:val="00F0563B"/>
    <w:rsid w:val="00F06D7E"/>
    <w:rsid w:val="00F10D7A"/>
    <w:rsid w:val="00F12416"/>
    <w:rsid w:val="00F22538"/>
    <w:rsid w:val="00F229B8"/>
    <w:rsid w:val="00F22A1C"/>
    <w:rsid w:val="00F318BA"/>
    <w:rsid w:val="00F338B5"/>
    <w:rsid w:val="00F34A65"/>
    <w:rsid w:val="00F36248"/>
    <w:rsid w:val="00F41B64"/>
    <w:rsid w:val="00F42EBF"/>
    <w:rsid w:val="00F446CF"/>
    <w:rsid w:val="00F5310F"/>
    <w:rsid w:val="00F54C56"/>
    <w:rsid w:val="00F54DDB"/>
    <w:rsid w:val="00F65858"/>
    <w:rsid w:val="00F67637"/>
    <w:rsid w:val="00F805C0"/>
    <w:rsid w:val="00F810AD"/>
    <w:rsid w:val="00F81663"/>
    <w:rsid w:val="00F83D53"/>
    <w:rsid w:val="00F848F3"/>
    <w:rsid w:val="00F87E5C"/>
    <w:rsid w:val="00F9077D"/>
    <w:rsid w:val="00F92CCD"/>
    <w:rsid w:val="00F9306C"/>
    <w:rsid w:val="00FA1ED6"/>
    <w:rsid w:val="00FA3000"/>
    <w:rsid w:val="00FA6CDC"/>
    <w:rsid w:val="00FB435E"/>
    <w:rsid w:val="00FB4631"/>
    <w:rsid w:val="00FB79F3"/>
    <w:rsid w:val="00FC4AFE"/>
    <w:rsid w:val="00FC5291"/>
    <w:rsid w:val="00FD4DED"/>
    <w:rsid w:val="00FD6580"/>
    <w:rsid w:val="00FE186C"/>
    <w:rsid w:val="00FE23E8"/>
    <w:rsid w:val="00FF23B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BA212A"/>
  <w15:chartTrackingRefBased/>
  <w15:docId w15:val="{9AB24650-E35D-494B-8749-395C7796F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4AFE"/>
    <w:pPr>
      <w:bidi/>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D13693"/>
    <w:pPr>
      <w:tabs>
        <w:tab w:val="center" w:pos="4153"/>
        <w:tab w:val="right" w:pos="8306"/>
      </w:tabs>
      <w:spacing w:after="0" w:line="240" w:lineRule="auto"/>
    </w:pPr>
  </w:style>
  <w:style w:type="character" w:customStyle="1" w:styleId="En-tteCar">
    <w:name w:val="En-tête Car"/>
    <w:basedOn w:val="Policepardfaut"/>
    <w:link w:val="En-tte"/>
    <w:uiPriority w:val="99"/>
    <w:rsid w:val="00D13693"/>
  </w:style>
  <w:style w:type="paragraph" w:styleId="Pieddepage">
    <w:name w:val="footer"/>
    <w:basedOn w:val="Normal"/>
    <w:link w:val="PieddepageCar"/>
    <w:uiPriority w:val="99"/>
    <w:unhideWhenUsed/>
    <w:rsid w:val="00D13693"/>
    <w:pPr>
      <w:tabs>
        <w:tab w:val="center" w:pos="4153"/>
        <w:tab w:val="right" w:pos="8306"/>
      </w:tabs>
      <w:spacing w:after="0" w:line="240" w:lineRule="auto"/>
    </w:pPr>
  </w:style>
  <w:style w:type="character" w:customStyle="1" w:styleId="PieddepageCar">
    <w:name w:val="Pied de page Car"/>
    <w:basedOn w:val="Policepardfaut"/>
    <w:link w:val="Pieddepage"/>
    <w:uiPriority w:val="99"/>
    <w:rsid w:val="00D13693"/>
  </w:style>
  <w:style w:type="paragraph" w:customStyle="1" w:styleId="ds-markdown-paragraph">
    <w:name w:val="ds-markdown-paragraph"/>
    <w:basedOn w:val="Normal"/>
    <w:rsid w:val="00070E8A"/>
    <w:pPr>
      <w:bidi w:val="0"/>
      <w:spacing w:before="100" w:beforeAutospacing="1" w:after="100" w:afterAutospacing="1" w:line="240" w:lineRule="auto"/>
    </w:pPr>
    <w:rPr>
      <w:rFonts w:ascii="Times New Roman" w:eastAsia="Times New Roman" w:hAnsi="Times New Roman" w:cs="Times New Roman"/>
      <w:kern w:val="0"/>
      <w:sz w:val="24"/>
      <w:szCs w:val="24"/>
      <w:lang w:val="fr-FR" w:eastAsia="fr-FR"/>
      <w14:ligatures w14:val="none"/>
    </w:rPr>
  </w:style>
  <w:style w:type="character" w:styleId="lev">
    <w:name w:val="Strong"/>
    <w:basedOn w:val="Policepardfaut"/>
    <w:uiPriority w:val="22"/>
    <w:qFormat/>
    <w:rsid w:val="00070E8A"/>
    <w:rPr>
      <w:b/>
      <w:bCs/>
    </w:rPr>
  </w:style>
  <w:style w:type="paragraph" w:styleId="Notedebasdepage">
    <w:name w:val="footnote text"/>
    <w:basedOn w:val="Normal"/>
    <w:link w:val="NotedebasdepageCar"/>
    <w:uiPriority w:val="99"/>
    <w:semiHidden/>
    <w:unhideWhenUsed/>
    <w:rsid w:val="0032468E"/>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32468E"/>
    <w:rPr>
      <w:sz w:val="20"/>
      <w:szCs w:val="20"/>
    </w:rPr>
  </w:style>
  <w:style w:type="character" w:styleId="Appelnotedebasdep">
    <w:name w:val="footnote reference"/>
    <w:basedOn w:val="Policepardfaut"/>
    <w:uiPriority w:val="99"/>
    <w:semiHidden/>
    <w:unhideWhenUsed/>
    <w:rsid w:val="0032468E"/>
    <w:rPr>
      <w:vertAlign w:val="superscript"/>
    </w:rPr>
  </w:style>
  <w:style w:type="character" w:customStyle="1" w:styleId="normaltextrun">
    <w:name w:val="normaltextrun"/>
    <w:basedOn w:val="Policepardfaut"/>
    <w:rsid w:val="002E01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9854671">
      <w:bodyDiv w:val="1"/>
      <w:marLeft w:val="0"/>
      <w:marRight w:val="0"/>
      <w:marTop w:val="0"/>
      <w:marBottom w:val="0"/>
      <w:divBdr>
        <w:top w:val="none" w:sz="0" w:space="0" w:color="auto"/>
        <w:left w:val="none" w:sz="0" w:space="0" w:color="auto"/>
        <w:bottom w:val="none" w:sz="0" w:space="0" w:color="auto"/>
        <w:right w:val="none" w:sz="0" w:space="0" w:color="auto"/>
      </w:divBdr>
      <w:divsChild>
        <w:div w:id="959803612">
          <w:marLeft w:val="0"/>
          <w:marRight w:val="0"/>
          <w:marTop w:val="0"/>
          <w:marBottom w:val="0"/>
          <w:divBdr>
            <w:top w:val="none" w:sz="0" w:space="0" w:color="auto"/>
            <w:left w:val="none" w:sz="0" w:space="0" w:color="auto"/>
            <w:bottom w:val="none" w:sz="0" w:space="0" w:color="auto"/>
            <w:right w:val="none" w:sz="0" w:space="0" w:color="auto"/>
          </w:divBdr>
          <w:divsChild>
            <w:div w:id="821505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7833588">
      <w:bodyDiv w:val="1"/>
      <w:marLeft w:val="0"/>
      <w:marRight w:val="0"/>
      <w:marTop w:val="0"/>
      <w:marBottom w:val="0"/>
      <w:divBdr>
        <w:top w:val="none" w:sz="0" w:space="0" w:color="auto"/>
        <w:left w:val="none" w:sz="0" w:space="0" w:color="auto"/>
        <w:bottom w:val="none" w:sz="0" w:space="0" w:color="auto"/>
        <w:right w:val="none" w:sz="0" w:space="0" w:color="auto"/>
      </w:divBdr>
      <w:divsChild>
        <w:div w:id="1203441905">
          <w:marLeft w:val="0"/>
          <w:marRight w:val="0"/>
          <w:marTop w:val="0"/>
          <w:marBottom w:val="0"/>
          <w:divBdr>
            <w:top w:val="none" w:sz="0" w:space="0" w:color="auto"/>
            <w:left w:val="none" w:sz="0" w:space="0" w:color="auto"/>
            <w:bottom w:val="none" w:sz="0" w:space="0" w:color="auto"/>
            <w:right w:val="none" w:sz="0" w:space="0" w:color="auto"/>
          </w:divBdr>
          <w:divsChild>
            <w:div w:id="822237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266172">
      <w:bodyDiv w:val="1"/>
      <w:marLeft w:val="0"/>
      <w:marRight w:val="0"/>
      <w:marTop w:val="0"/>
      <w:marBottom w:val="0"/>
      <w:divBdr>
        <w:top w:val="none" w:sz="0" w:space="0" w:color="auto"/>
        <w:left w:val="none" w:sz="0" w:space="0" w:color="auto"/>
        <w:bottom w:val="none" w:sz="0" w:space="0" w:color="auto"/>
        <w:right w:val="none" w:sz="0" w:space="0" w:color="auto"/>
      </w:divBdr>
      <w:divsChild>
        <w:div w:id="918908476">
          <w:marLeft w:val="0"/>
          <w:marRight w:val="0"/>
          <w:marTop w:val="0"/>
          <w:marBottom w:val="0"/>
          <w:divBdr>
            <w:top w:val="none" w:sz="0" w:space="0" w:color="auto"/>
            <w:left w:val="none" w:sz="0" w:space="0" w:color="auto"/>
            <w:bottom w:val="none" w:sz="0" w:space="0" w:color="auto"/>
            <w:right w:val="none" w:sz="0" w:space="0" w:color="auto"/>
          </w:divBdr>
          <w:divsChild>
            <w:div w:id="1492405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321392">
      <w:bodyDiv w:val="1"/>
      <w:marLeft w:val="0"/>
      <w:marRight w:val="0"/>
      <w:marTop w:val="0"/>
      <w:marBottom w:val="0"/>
      <w:divBdr>
        <w:top w:val="none" w:sz="0" w:space="0" w:color="auto"/>
        <w:left w:val="none" w:sz="0" w:space="0" w:color="auto"/>
        <w:bottom w:val="none" w:sz="0" w:space="0" w:color="auto"/>
        <w:right w:val="none" w:sz="0" w:space="0" w:color="auto"/>
      </w:divBdr>
      <w:divsChild>
        <w:div w:id="2006086315">
          <w:marLeft w:val="0"/>
          <w:marRight w:val="0"/>
          <w:marTop w:val="0"/>
          <w:marBottom w:val="0"/>
          <w:divBdr>
            <w:top w:val="none" w:sz="0" w:space="0" w:color="auto"/>
            <w:left w:val="none" w:sz="0" w:space="0" w:color="auto"/>
            <w:bottom w:val="none" w:sz="0" w:space="0" w:color="auto"/>
            <w:right w:val="none" w:sz="0" w:space="0" w:color="auto"/>
          </w:divBdr>
          <w:divsChild>
            <w:div w:id="127631199">
              <w:marLeft w:val="0"/>
              <w:marRight w:val="0"/>
              <w:marTop w:val="0"/>
              <w:marBottom w:val="240"/>
              <w:divBdr>
                <w:top w:val="none" w:sz="0" w:space="0" w:color="auto"/>
                <w:left w:val="none" w:sz="0" w:space="0" w:color="auto"/>
                <w:bottom w:val="none" w:sz="0" w:space="0" w:color="auto"/>
                <w:right w:val="none" w:sz="0" w:space="0" w:color="auto"/>
              </w:divBdr>
              <w:divsChild>
                <w:div w:id="843400200">
                  <w:marLeft w:val="0"/>
                  <w:marRight w:val="0"/>
                  <w:marTop w:val="0"/>
                  <w:marBottom w:val="0"/>
                  <w:divBdr>
                    <w:top w:val="none" w:sz="0" w:space="0" w:color="auto"/>
                    <w:left w:val="none" w:sz="0" w:space="0" w:color="auto"/>
                    <w:bottom w:val="none" w:sz="0" w:space="0" w:color="auto"/>
                    <w:right w:val="none" w:sz="0" w:space="0" w:color="auto"/>
                  </w:divBdr>
                  <w:divsChild>
                    <w:div w:id="2035155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016837">
              <w:marLeft w:val="0"/>
              <w:marRight w:val="0"/>
              <w:marTop w:val="0"/>
              <w:marBottom w:val="0"/>
              <w:divBdr>
                <w:top w:val="none" w:sz="0" w:space="0" w:color="auto"/>
                <w:left w:val="none" w:sz="0" w:space="0" w:color="auto"/>
                <w:bottom w:val="none" w:sz="0" w:space="0" w:color="auto"/>
                <w:right w:val="none" w:sz="0" w:space="0" w:color="auto"/>
              </w:divBdr>
              <w:divsChild>
                <w:div w:id="760830591">
                  <w:marLeft w:val="0"/>
                  <w:marRight w:val="0"/>
                  <w:marTop w:val="0"/>
                  <w:marBottom w:val="0"/>
                  <w:divBdr>
                    <w:top w:val="none" w:sz="0" w:space="0" w:color="auto"/>
                    <w:left w:val="none" w:sz="0" w:space="0" w:color="auto"/>
                    <w:bottom w:val="none" w:sz="0" w:space="0" w:color="auto"/>
                    <w:right w:val="none" w:sz="0" w:space="0" w:color="auto"/>
                  </w:divBdr>
                  <w:divsChild>
                    <w:div w:id="224730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9548446">
      <w:bodyDiv w:val="1"/>
      <w:marLeft w:val="0"/>
      <w:marRight w:val="0"/>
      <w:marTop w:val="0"/>
      <w:marBottom w:val="0"/>
      <w:divBdr>
        <w:top w:val="none" w:sz="0" w:space="0" w:color="auto"/>
        <w:left w:val="none" w:sz="0" w:space="0" w:color="auto"/>
        <w:bottom w:val="none" w:sz="0" w:space="0" w:color="auto"/>
        <w:right w:val="none" w:sz="0" w:space="0" w:color="auto"/>
      </w:divBdr>
    </w:div>
    <w:div w:id="1653412902">
      <w:bodyDiv w:val="1"/>
      <w:marLeft w:val="0"/>
      <w:marRight w:val="0"/>
      <w:marTop w:val="0"/>
      <w:marBottom w:val="0"/>
      <w:divBdr>
        <w:top w:val="none" w:sz="0" w:space="0" w:color="auto"/>
        <w:left w:val="none" w:sz="0" w:space="0" w:color="auto"/>
        <w:bottom w:val="none" w:sz="0" w:space="0" w:color="auto"/>
        <w:right w:val="none" w:sz="0" w:space="0" w:color="auto"/>
      </w:divBdr>
      <w:divsChild>
        <w:div w:id="1238591411">
          <w:marLeft w:val="0"/>
          <w:marRight w:val="0"/>
          <w:marTop w:val="0"/>
          <w:marBottom w:val="0"/>
          <w:divBdr>
            <w:top w:val="none" w:sz="0" w:space="0" w:color="auto"/>
            <w:left w:val="none" w:sz="0" w:space="0" w:color="auto"/>
            <w:bottom w:val="none" w:sz="0" w:space="0" w:color="auto"/>
            <w:right w:val="none" w:sz="0" w:space="0" w:color="auto"/>
          </w:divBdr>
          <w:divsChild>
            <w:div w:id="1687825830">
              <w:marLeft w:val="0"/>
              <w:marRight w:val="0"/>
              <w:marTop w:val="0"/>
              <w:marBottom w:val="0"/>
              <w:divBdr>
                <w:top w:val="none" w:sz="0" w:space="0" w:color="auto"/>
                <w:left w:val="none" w:sz="0" w:space="0" w:color="auto"/>
                <w:bottom w:val="none" w:sz="0" w:space="0" w:color="auto"/>
                <w:right w:val="none" w:sz="0" w:space="0" w:color="auto"/>
              </w:divBdr>
              <w:divsChild>
                <w:div w:id="1640257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831236">
          <w:marLeft w:val="0"/>
          <w:marRight w:val="0"/>
          <w:marTop w:val="0"/>
          <w:marBottom w:val="0"/>
          <w:divBdr>
            <w:top w:val="none" w:sz="0" w:space="0" w:color="auto"/>
            <w:left w:val="none" w:sz="0" w:space="0" w:color="auto"/>
            <w:bottom w:val="none" w:sz="0" w:space="0" w:color="auto"/>
            <w:right w:val="none" w:sz="0" w:space="0" w:color="auto"/>
          </w:divBdr>
          <w:divsChild>
            <w:div w:id="983126369">
              <w:marLeft w:val="0"/>
              <w:marRight w:val="0"/>
              <w:marTop w:val="0"/>
              <w:marBottom w:val="0"/>
              <w:divBdr>
                <w:top w:val="none" w:sz="0" w:space="0" w:color="auto"/>
                <w:left w:val="none" w:sz="0" w:space="0" w:color="auto"/>
                <w:bottom w:val="none" w:sz="0" w:space="0" w:color="auto"/>
                <w:right w:val="none" w:sz="0" w:space="0" w:color="auto"/>
              </w:divBdr>
              <w:divsChild>
                <w:div w:id="1688604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5782865">
      <w:bodyDiv w:val="1"/>
      <w:marLeft w:val="0"/>
      <w:marRight w:val="0"/>
      <w:marTop w:val="0"/>
      <w:marBottom w:val="0"/>
      <w:divBdr>
        <w:top w:val="none" w:sz="0" w:space="0" w:color="auto"/>
        <w:left w:val="none" w:sz="0" w:space="0" w:color="auto"/>
        <w:bottom w:val="none" w:sz="0" w:space="0" w:color="auto"/>
        <w:right w:val="none" w:sz="0" w:space="0" w:color="auto"/>
      </w:divBdr>
      <w:divsChild>
        <w:div w:id="447622404">
          <w:marLeft w:val="0"/>
          <w:marRight w:val="0"/>
          <w:marTop w:val="0"/>
          <w:marBottom w:val="0"/>
          <w:divBdr>
            <w:top w:val="none" w:sz="0" w:space="0" w:color="auto"/>
            <w:left w:val="none" w:sz="0" w:space="0" w:color="auto"/>
            <w:bottom w:val="none" w:sz="0" w:space="0" w:color="auto"/>
            <w:right w:val="none" w:sz="0" w:space="0" w:color="auto"/>
          </w:divBdr>
          <w:divsChild>
            <w:div w:id="321393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3278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DF328E-D081-464E-8616-872086352E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1827</TotalTime>
  <Pages>4</Pages>
  <Words>683</Words>
  <Characters>3757</Characters>
  <Application>Microsoft Office Word</Application>
  <DocSecurity>0</DocSecurity>
  <Lines>31</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4432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Abdellah Abouda</dc:creator>
  <cp:keywords/>
  <dc:description/>
  <cp:lastModifiedBy>Toshiba</cp:lastModifiedBy>
  <cp:revision>173</cp:revision>
  <dcterms:created xsi:type="dcterms:W3CDTF">2023-12-10T10:52:00Z</dcterms:created>
  <dcterms:modified xsi:type="dcterms:W3CDTF">2026-01-29T01:01:00Z</dcterms:modified>
</cp:coreProperties>
</file>