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D2EBF" w14:textId="3E016DA5" w:rsidR="00CB1664" w:rsidRPr="00CB1664" w:rsidRDefault="00A37041" w:rsidP="00CB1664">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lang w:val="fr-FR" w:eastAsia="fr-FR"/>
          <w14:ligatures w14:val="none"/>
        </w:rPr>
      </w:pPr>
      <w:r>
        <w:rPr>
          <w:rFonts w:ascii="Simplified Arabic" w:eastAsia="Times New Roman" w:hAnsi="Simplified Arabic" w:cs="Simplified Arabic" w:hint="cs"/>
          <w:b/>
          <w:bCs/>
          <w:kern w:val="0"/>
          <w:sz w:val="32"/>
          <w:szCs w:val="32"/>
          <w:rtl/>
          <w:lang w:val="fr-FR" w:eastAsia="fr-FR"/>
          <w14:ligatures w14:val="none"/>
        </w:rPr>
        <w:t>المحاضرة ال</w:t>
      </w:r>
      <w:r>
        <w:rPr>
          <w:rFonts w:ascii="Simplified Arabic" w:eastAsia="Times New Roman" w:hAnsi="Simplified Arabic" w:cs="Simplified Arabic" w:hint="cs"/>
          <w:b/>
          <w:bCs/>
          <w:kern w:val="0"/>
          <w:sz w:val="32"/>
          <w:szCs w:val="32"/>
          <w:rtl/>
          <w:lang w:val="fr-FR" w:eastAsia="fr-FR" w:bidi="ar-TN"/>
          <w14:ligatures w14:val="none"/>
        </w:rPr>
        <w:t>ثانية</w:t>
      </w:r>
      <w:r w:rsidR="00F46073">
        <w:rPr>
          <w:rFonts w:ascii="Simplified Arabic" w:eastAsia="Times New Roman" w:hAnsi="Simplified Arabic" w:cs="Simplified Arabic" w:hint="cs"/>
          <w:b/>
          <w:bCs/>
          <w:kern w:val="0"/>
          <w:sz w:val="32"/>
          <w:szCs w:val="32"/>
          <w:rtl/>
          <w:lang w:val="fr-FR" w:eastAsia="fr-FR"/>
          <w14:ligatures w14:val="none"/>
        </w:rPr>
        <w:t xml:space="preserve"> عشر-</w:t>
      </w:r>
      <w:r w:rsidR="00F46073" w:rsidRPr="00A63572">
        <w:rPr>
          <w:rFonts w:ascii="Simplified Arabic" w:eastAsia="Times New Roman" w:hAnsi="Simplified Arabic" w:cs="Simplified Arabic" w:hint="cs"/>
          <w:b/>
          <w:bCs/>
          <w:kern w:val="0"/>
          <w:sz w:val="32"/>
          <w:szCs w:val="32"/>
          <w:rtl/>
          <w:lang w:val="fr-FR" w:eastAsia="fr-FR"/>
          <w14:ligatures w14:val="none"/>
        </w:rPr>
        <w:t>الأنواع غير السردية</w:t>
      </w:r>
      <w:r w:rsidR="00F46073">
        <w:rPr>
          <w:rFonts w:ascii="Simplified Arabic" w:eastAsia="Times New Roman" w:hAnsi="Simplified Arabic" w:cs="Simplified Arabic" w:hint="cs"/>
          <w:b/>
          <w:bCs/>
          <w:kern w:val="0"/>
          <w:sz w:val="32"/>
          <w:szCs w:val="32"/>
          <w:rtl/>
          <w:lang w:val="fr-FR" w:eastAsia="fr-FR"/>
          <w14:ligatures w14:val="none"/>
        </w:rPr>
        <w:t>-الأمثال والحكم</w:t>
      </w:r>
    </w:p>
    <w:p w14:paraId="1662B262" w14:textId="48336B1C" w:rsidR="00F46073" w:rsidRPr="00CB1664" w:rsidRDefault="00CB1664" w:rsidP="00CB1664">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CB1664">
        <w:rPr>
          <w:rFonts w:ascii="Simplified Arabic" w:eastAsia="Times New Roman" w:hAnsi="Simplified Arabic" w:cs="Simplified Arabic"/>
          <w:kern w:val="0"/>
          <w:sz w:val="32"/>
          <w:szCs w:val="32"/>
          <w:rtl/>
          <w:lang w:val="fr-FR" w:eastAsia="fr-FR"/>
          <w14:ligatures w14:val="none"/>
        </w:rPr>
        <w:t>تعد الامثال وا</w:t>
      </w:r>
      <w:r w:rsidR="00125974">
        <w:rPr>
          <w:rFonts w:ascii="Simplified Arabic" w:eastAsia="Times New Roman" w:hAnsi="Simplified Arabic" w:cs="Simplified Arabic"/>
          <w:kern w:val="0"/>
          <w:sz w:val="32"/>
          <w:szCs w:val="32"/>
          <w:rtl/>
          <w:lang w:val="fr-FR" w:eastAsia="fr-FR"/>
          <w14:ligatures w14:val="none"/>
        </w:rPr>
        <w:t>لحكم تجليات لغوية مكثفة لروح ال</w:t>
      </w:r>
      <w:r w:rsidR="00125974">
        <w:rPr>
          <w:rFonts w:ascii="Simplified Arabic" w:eastAsia="Times New Roman" w:hAnsi="Simplified Arabic" w:cs="Simplified Arabic" w:hint="cs"/>
          <w:kern w:val="0"/>
          <w:sz w:val="32"/>
          <w:szCs w:val="32"/>
          <w:rtl/>
          <w:lang w:val="fr-FR" w:eastAsia="fr-FR"/>
          <w14:ligatures w14:val="none"/>
        </w:rPr>
        <w:t>أ</w:t>
      </w:r>
      <w:bookmarkStart w:id="0" w:name="_GoBack"/>
      <w:bookmarkEnd w:id="0"/>
      <w:r w:rsidRPr="00CB1664">
        <w:rPr>
          <w:rFonts w:ascii="Simplified Arabic" w:eastAsia="Times New Roman" w:hAnsi="Simplified Arabic" w:cs="Simplified Arabic"/>
          <w:kern w:val="0"/>
          <w:sz w:val="32"/>
          <w:szCs w:val="32"/>
          <w:rtl/>
          <w:lang w:val="fr-FR" w:eastAsia="fr-FR"/>
          <w14:ligatures w14:val="none"/>
        </w:rPr>
        <w:t>مم وذاكرتها الجمعية، حيث تودي دور وحدات دلالية تحمل رؤى فلسفية واجتماعية اختزلت عبر التجارب التاريخية المتراكمة، فهي لا تمثل مجرد تعبيرات بلاغية جامدة، بل تشكل انظمة رمزية حية تعمل كمرايا عاكسة للبنى الثقافية العميقة؛ فتجسد المنظومة القيمية، وتكشف عن العلاقات بين الانسان وبيئته، كما تبرز آليات التفكير المشترك داخل نسيج حضاري معين، وتعمل هذه الصيغ المختزلة -بما تمتلكه من ايجاز وسهولة تداول- على تحويل الخبرات الفردية الى حكمة جماعية لتشكل بذلك ارشيفا شفهيا تحفظه ذاكرة الشعوب الثقافية</w:t>
      </w:r>
      <w:r w:rsidRPr="00CB1664">
        <w:rPr>
          <w:rFonts w:ascii="Simplified Arabic" w:eastAsia="Times New Roman" w:hAnsi="Simplified Arabic" w:cs="Simplified Arabic"/>
          <w:kern w:val="0"/>
          <w:sz w:val="32"/>
          <w:szCs w:val="32"/>
          <w:lang w:val="fr-FR" w:eastAsia="fr-FR"/>
          <w14:ligatures w14:val="none"/>
        </w:rPr>
        <w:t>.</w:t>
      </w:r>
    </w:p>
    <w:p w14:paraId="636222E1" w14:textId="77777777" w:rsidR="00F46073" w:rsidRDefault="00F46073" w:rsidP="00F46073">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Pr>
          <w:rFonts w:ascii="Simplified Arabic" w:eastAsia="Times New Roman" w:hAnsi="Simplified Arabic" w:cs="Simplified Arabic" w:hint="cs"/>
          <w:b/>
          <w:bCs/>
          <w:kern w:val="0"/>
          <w:sz w:val="32"/>
          <w:szCs w:val="32"/>
          <w:rtl/>
          <w:lang w:val="fr-FR" w:eastAsia="fr-FR"/>
          <w14:ligatures w14:val="none"/>
        </w:rPr>
        <w:t>-تعريف الأمثال</w:t>
      </w:r>
    </w:p>
    <w:p w14:paraId="46E1044E" w14:textId="77777777" w:rsidR="00F46073" w:rsidRPr="007F1F6E" w:rsidRDefault="00F46073" w:rsidP="00F46073">
      <w:pPr>
        <w:shd w:val="clear" w:color="auto" w:fill="FFFFFF"/>
        <w:spacing w:before="240"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DC216E">
        <w:rPr>
          <w:rFonts w:ascii="Simplified Arabic" w:hAnsi="Simplified Arabic" w:cs="Simplified Arabic"/>
          <w:sz w:val="32"/>
          <w:szCs w:val="32"/>
          <w:rtl/>
          <w:lang w:val="fr-FR" w:bidi="ar-TN"/>
        </w:rPr>
        <w:t>تعد الأمثال جملة العبارات</w:t>
      </w:r>
      <w:r>
        <w:rPr>
          <w:rFonts w:ascii="Simplified Arabic" w:hAnsi="Simplified Arabic" w:cs="Simplified Arabic"/>
          <w:sz w:val="32"/>
          <w:szCs w:val="32"/>
          <w:rtl/>
          <w:lang w:val="fr-FR" w:bidi="ar-TN"/>
        </w:rPr>
        <w:t xml:space="preserve"> التي تتصف بكونها وجيزة</w:t>
      </w:r>
      <w:r w:rsidRPr="00DC216E">
        <w:rPr>
          <w:rFonts w:ascii="Simplified Arabic" w:hAnsi="Simplified Arabic" w:cs="Simplified Arabic"/>
          <w:sz w:val="32"/>
          <w:szCs w:val="32"/>
          <w:rtl/>
          <w:lang w:val="fr-FR" w:bidi="ar-TN"/>
        </w:rPr>
        <w:t xml:space="preserve">، مع تضمنها أفكارا صائبة تمثل واقع الحياة البشرية وتقلباتها ودروسها، </w:t>
      </w:r>
      <w:r>
        <w:rPr>
          <w:rFonts w:ascii="Simplified Arabic" w:hAnsi="Simplified Arabic" w:cs="Simplified Arabic" w:hint="cs"/>
          <w:sz w:val="32"/>
          <w:szCs w:val="32"/>
          <w:rtl/>
          <w:lang w:val="fr-FR" w:bidi="ar-TN"/>
        </w:rPr>
        <w:t>و</w:t>
      </w:r>
      <w:r w:rsidRPr="00DC216E">
        <w:rPr>
          <w:rFonts w:ascii="Simplified Arabic" w:hAnsi="Simplified Arabic" w:cs="Simplified Arabic"/>
          <w:sz w:val="32"/>
          <w:szCs w:val="32"/>
          <w:rtl/>
          <w:lang w:val="fr-FR" w:bidi="ar-TN"/>
        </w:rPr>
        <w:t>يتشكل حضور المثل من جزئين اثنين هما المورد والمضرب؛ أما الأول فيتضمن القصة أو الحادثة التي أطلق فيها أول مرة، وأما الثاني فيعني الوضعيات التي نستحضره فيها لحدوث نوع من المشابهة بين الموقفين</w:t>
      </w:r>
      <w:r w:rsidRPr="007F1F6E">
        <w:rPr>
          <w:rStyle w:val="Appelnotedebasdep"/>
          <w:rFonts w:ascii="Simplified Arabic" w:hAnsi="Simplified Arabic" w:cs="Simplified Arabic"/>
          <w:sz w:val="32"/>
          <w:szCs w:val="32"/>
          <w:rtl/>
          <w:lang w:val="fr-FR" w:bidi="ar-TN"/>
        </w:rPr>
        <w:footnoteReference w:id="1"/>
      </w:r>
      <w:r w:rsidRPr="007F1F6E">
        <w:rPr>
          <w:rFonts w:ascii="Simplified Arabic" w:hAnsi="Simplified Arabic" w:cs="Simplified Arabic" w:hint="cs"/>
          <w:sz w:val="32"/>
          <w:szCs w:val="32"/>
          <w:rtl/>
          <w:lang w:val="fr-FR" w:bidi="ar-TN"/>
        </w:rPr>
        <w:t xml:space="preserve"> وعليه؛ </w:t>
      </w:r>
      <w:r w:rsidRPr="007F1F6E">
        <w:rPr>
          <w:rFonts w:ascii="Simplified Arabic" w:hAnsi="Simplified Arabic" w:cs="Simplified Arabic"/>
          <w:sz w:val="32"/>
          <w:szCs w:val="32"/>
          <w:rtl/>
          <w:lang w:val="fr-FR" w:bidi="ar-TN"/>
        </w:rPr>
        <w:t>«يقال هذا مثله ومثله كما يقال شبهه وشبهه، والمثل الشيء الذي يضرب لشيء مثلا فيجعله مثله»</w:t>
      </w:r>
      <w:r w:rsidRPr="007F1F6E">
        <w:rPr>
          <w:rStyle w:val="Appelnotedebasdep"/>
          <w:rFonts w:ascii="Simplified Arabic" w:hAnsi="Simplified Arabic" w:cs="Simplified Arabic"/>
          <w:sz w:val="32"/>
          <w:szCs w:val="32"/>
          <w:rtl/>
          <w:lang w:val="fr-FR" w:bidi="ar-TN"/>
        </w:rPr>
        <w:footnoteReference w:id="2"/>
      </w:r>
    </w:p>
    <w:p w14:paraId="416EF3C3" w14:textId="77777777" w:rsidR="00F46073" w:rsidRPr="005D5ED5" w:rsidRDefault="00F46073" w:rsidP="00F46073">
      <w:pPr>
        <w:jc w:val="mediumKashida"/>
        <w:rPr>
          <w:rFonts w:ascii="Simplified Arabic" w:hAnsi="Simplified Arabic" w:cs="Simplified Arabic"/>
          <w:b/>
          <w:bCs/>
          <w:sz w:val="32"/>
          <w:szCs w:val="32"/>
          <w:rtl/>
          <w:lang w:val="fr-FR" w:bidi="ar-TN"/>
        </w:rPr>
      </w:pPr>
      <w:r>
        <w:rPr>
          <w:rFonts w:ascii="Simplified Arabic" w:hAnsi="Simplified Arabic" w:cs="Simplified Arabic" w:hint="cs"/>
          <w:b/>
          <w:bCs/>
          <w:sz w:val="32"/>
          <w:szCs w:val="32"/>
          <w:rtl/>
          <w:lang w:val="fr-FR" w:bidi="ar-TN"/>
        </w:rPr>
        <w:t>نماذج عن الأمثال العربية التراثية</w:t>
      </w:r>
    </w:p>
    <w:p w14:paraId="588A47FF" w14:textId="77777777" w:rsidR="00F46073" w:rsidRDefault="00F46073" w:rsidP="00F46073">
      <w:pPr>
        <w:jc w:val="mediumKashida"/>
        <w:rPr>
          <w:rFonts w:ascii="Simplified Arabic" w:hAnsi="Simplified Arabic" w:cs="Simplified Arabic"/>
          <w:sz w:val="32"/>
          <w:szCs w:val="32"/>
          <w:rtl/>
          <w:lang w:val="fr-FR" w:bidi="ar-TN"/>
        </w:rPr>
      </w:pPr>
      <w:r>
        <w:rPr>
          <w:rFonts w:ascii="Simplified Arabic" w:hAnsi="Simplified Arabic" w:cs="Simplified Arabic" w:hint="cs"/>
          <w:b/>
          <w:bCs/>
          <w:sz w:val="32"/>
          <w:szCs w:val="32"/>
          <w:rtl/>
          <w:lang w:val="fr-FR" w:bidi="ar-TN"/>
        </w:rPr>
        <w:t>-</w:t>
      </w:r>
      <w:r w:rsidRPr="005D5ED5">
        <w:rPr>
          <w:rFonts w:ascii="Simplified Arabic" w:hAnsi="Simplified Arabic" w:cs="Simplified Arabic"/>
          <w:b/>
          <w:bCs/>
          <w:sz w:val="32"/>
          <w:szCs w:val="32"/>
          <w:rtl/>
          <w:lang w:val="fr-FR" w:bidi="ar-TN"/>
        </w:rPr>
        <w:t xml:space="preserve">يداك أوكتا وفوك نفخ؛ </w:t>
      </w:r>
      <w:r w:rsidRPr="003D4F91">
        <w:rPr>
          <w:rFonts w:ascii="Simplified Arabic" w:hAnsi="Simplified Arabic" w:cs="Simplified Arabic"/>
          <w:sz w:val="32"/>
          <w:szCs w:val="32"/>
          <w:rtl/>
          <w:lang w:val="fr-FR" w:bidi="ar-TN"/>
        </w:rPr>
        <w:t>يضرب</w:t>
      </w:r>
      <w:r>
        <w:rPr>
          <w:rFonts w:ascii="Simplified Arabic" w:hAnsi="Simplified Arabic" w:cs="Simplified Arabic" w:hint="cs"/>
          <w:sz w:val="32"/>
          <w:szCs w:val="32"/>
          <w:rtl/>
          <w:lang w:val="fr-FR" w:bidi="ar-TN"/>
        </w:rPr>
        <w:t xml:space="preserve"> هذا المثل</w:t>
      </w:r>
      <w:r w:rsidRPr="003D4F91">
        <w:rPr>
          <w:rFonts w:ascii="Simplified Arabic" w:hAnsi="Simplified Arabic" w:cs="Simplified Arabic"/>
          <w:sz w:val="32"/>
          <w:szCs w:val="32"/>
          <w:rtl/>
          <w:lang w:val="fr-FR" w:bidi="ar-TN"/>
        </w:rPr>
        <w:t xml:space="preserve"> لمن يرتكب الخطأ و</w:t>
      </w:r>
      <w:r>
        <w:rPr>
          <w:rFonts w:ascii="Simplified Arabic" w:hAnsi="Simplified Arabic" w:cs="Simplified Arabic" w:hint="cs"/>
          <w:sz w:val="32"/>
          <w:szCs w:val="32"/>
          <w:rtl/>
          <w:lang w:val="fr-FR" w:bidi="ar-TN"/>
        </w:rPr>
        <w:t xml:space="preserve">يجبر فيما بعد على </w:t>
      </w:r>
      <w:r w:rsidRPr="003D4F91">
        <w:rPr>
          <w:rFonts w:ascii="Simplified Arabic" w:hAnsi="Simplified Arabic" w:cs="Simplified Arabic"/>
          <w:sz w:val="32"/>
          <w:szCs w:val="32"/>
          <w:rtl/>
          <w:lang w:val="fr-FR" w:bidi="ar-TN"/>
        </w:rPr>
        <w:t xml:space="preserve">يتحمل </w:t>
      </w:r>
      <w:r>
        <w:rPr>
          <w:rFonts w:ascii="Simplified Arabic" w:hAnsi="Simplified Arabic" w:cs="Simplified Arabic" w:hint="cs"/>
          <w:sz w:val="32"/>
          <w:szCs w:val="32"/>
          <w:rtl/>
          <w:lang w:val="fr-FR" w:bidi="ar-TN"/>
        </w:rPr>
        <w:t>عواقبه.</w:t>
      </w:r>
    </w:p>
    <w:p w14:paraId="4BF8D867" w14:textId="77777777" w:rsidR="00F46073" w:rsidRPr="003D4F91" w:rsidRDefault="00F46073" w:rsidP="00F46073">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lastRenderedPageBreak/>
        <w:t>-</w:t>
      </w:r>
      <w:r w:rsidRPr="005D5ED5">
        <w:rPr>
          <w:rFonts w:ascii="Simplified Arabic" w:hAnsi="Simplified Arabic" w:cs="Simplified Arabic"/>
          <w:b/>
          <w:bCs/>
          <w:sz w:val="32"/>
          <w:szCs w:val="32"/>
          <w:rtl/>
          <w:lang w:val="fr-FR" w:bidi="ar-TN"/>
        </w:rPr>
        <w:t>استنوق الجمل</w:t>
      </w:r>
      <w:r>
        <w:rPr>
          <w:rFonts w:ascii="Simplified Arabic" w:hAnsi="Simplified Arabic" w:cs="Simplified Arabic" w:hint="cs"/>
          <w:b/>
          <w:bCs/>
          <w:sz w:val="32"/>
          <w:szCs w:val="32"/>
          <w:rtl/>
          <w:lang w:val="fr-FR" w:bidi="ar-TN"/>
        </w:rPr>
        <w:t xml:space="preserve">؛ </w:t>
      </w:r>
      <w:r w:rsidRPr="003D4F91">
        <w:rPr>
          <w:rFonts w:ascii="Simplified Arabic" w:hAnsi="Simplified Arabic" w:cs="Simplified Arabic" w:hint="cs"/>
          <w:sz w:val="32"/>
          <w:szCs w:val="32"/>
          <w:rtl/>
          <w:lang w:val="fr-FR" w:bidi="ar-TN"/>
        </w:rPr>
        <w:t>يضرب هذا المثل تدليلا على فقدان الشخص سماته الفطرية وتحوله لتبني خصائص أخرى تخص جنسا آخر أيضا.</w:t>
      </w:r>
    </w:p>
    <w:p w14:paraId="2492CE4C" w14:textId="77777777" w:rsidR="00F46073" w:rsidRPr="00F30236" w:rsidRDefault="00F46073" w:rsidP="00F46073">
      <w:pPr>
        <w:jc w:val="mediumKashida"/>
        <w:rPr>
          <w:rFonts w:ascii="Simplified Arabic" w:hAnsi="Simplified Arabic" w:cs="Simplified Arabic"/>
          <w:sz w:val="32"/>
          <w:szCs w:val="32"/>
          <w:rtl/>
          <w:lang w:val="fr-FR" w:bidi="ar-TN"/>
        </w:rPr>
      </w:pPr>
      <w:r>
        <w:rPr>
          <w:rFonts w:ascii="Simplified Arabic" w:hAnsi="Simplified Arabic" w:cs="Simplified Arabic" w:hint="cs"/>
          <w:b/>
          <w:bCs/>
          <w:sz w:val="32"/>
          <w:szCs w:val="32"/>
          <w:rtl/>
          <w:lang w:val="fr-FR" w:bidi="ar-TN"/>
        </w:rPr>
        <w:t>-</w:t>
      </w:r>
      <w:r w:rsidRPr="005D5ED5">
        <w:rPr>
          <w:rFonts w:ascii="Simplified Arabic" w:hAnsi="Simplified Arabic" w:cs="Simplified Arabic"/>
          <w:b/>
          <w:bCs/>
          <w:sz w:val="32"/>
          <w:szCs w:val="32"/>
          <w:rtl/>
          <w:lang w:val="fr-FR" w:bidi="ar-TN"/>
        </w:rPr>
        <w:t>بلغ السيل الزبى</w:t>
      </w:r>
      <w:r>
        <w:rPr>
          <w:rFonts w:ascii="Simplified Arabic" w:hAnsi="Simplified Arabic" w:cs="Simplified Arabic" w:hint="cs"/>
          <w:b/>
          <w:bCs/>
          <w:sz w:val="32"/>
          <w:szCs w:val="32"/>
          <w:rtl/>
          <w:lang w:val="fr-FR" w:bidi="ar-TN"/>
        </w:rPr>
        <w:t xml:space="preserve">؛ </w:t>
      </w:r>
      <w:r w:rsidRPr="00F30236">
        <w:rPr>
          <w:rFonts w:ascii="Simplified Arabic" w:hAnsi="Simplified Arabic" w:cs="Simplified Arabic" w:hint="cs"/>
          <w:sz w:val="32"/>
          <w:szCs w:val="32"/>
          <w:rtl/>
          <w:lang w:val="fr-FR" w:bidi="ar-TN"/>
        </w:rPr>
        <w:t>ويضرب هذا المثل إشارة إلى تفاقم الأمور وتجاوزها درجة التحمل</w:t>
      </w:r>
    </w:p>
    <w:p w14:paraId="2F00FC26" w14:textId="77777777" w:rsidR="00F46073" w:rsidRPr="005D5ED5" w:rsidRDefault="00F46073" w:rsidP="00F46073">
      <w:pPr>
        <w:jc w:val="mediumKashida"/>
        <w:rPr>
          <w:rFonts w:ascii="Simplified Arabic" w:hAnsi="Simplified Arabic" w:cs="Simplified Arabic"/>
          <w:b/>
          <w:bCs/>
          <w:sz w:val="32"/>
          <w:szCs w:val="32"/>
          <w:rtl/>
          <w:lang w:val="fr-FR" w:bidi="ar-TN"/>
        </w:rPr>
      </w:pPr>
      <w:r w:rsidRPr="005D5ED5">
        <w:rPr>
          <w:rFonts w:ascii="Simplified Arabic" w:hAnsi="Simplified Arabic" w:cs="Simplified Arabic"/>
          <w:b/>
          <w:bCs/>
          <w:sz w:val="32"/>
          <w:szCs w:val="32"/>
          <w:rtl/>
          <w:lang w:val="fr-FR" w:bidi="ar-TN"/>
        </w:rPr>
        <w:t>إن الهزيل إذا شبع مات</w:t>
      </w:r>
      <w:r>
        <w:rPr>
          <w:rFonts w:ascii="Simplified Arabic" w:hAnsi="Simplified Arabic" w:cs="Simplified Arabic" w:hint="cs"/>
          <w:b/>
          <w:bCs/>
          <w:sz w:val="32"/>
          <w:szCs w:val="32"/>
          <w:rtl/>
          <w:lang w:val="fr-FR" w:bidi="ar-TN"/>
        </w:rPr>
        <w:t xml:space="preserve">؛ </w:t>
      </w:r>
      <w:r w:rsidRPr="00F72DA8">
        <w:rPr>
          <w:rFonts w:ascii="Simplified Arabic" w:hAnsi="Simplified Arabic" w:cs="Simplified Arabic" w:hint="cs"/>
          <w:sz w:val="32"/>
          <w:szCs w:val="32"/>
          <w:rtl/>
          <w:lang w:val="fr-FR" w:bidi="ar-TN"/>
        </w:rPr>
        <w:t>يورد هذا المثل عن الشخص الذي تعود الفاقة ثم تغير حاله دفعة واحدة دون تدرج أو استعداد</w:t>
      </w:r>
      <w:r w:rsidRPr="005D5ED5">
        <w:rPr>
          <w:rStyle w:val="Appelnotedebasdep"/>
          <w:rFonts w:ascii="Simplified Arabic" w:hAnsi="Simplified Arabic" w:cs="Simplified Arabic"/>
          <w:b/>
          <w:bCs/>
          <w:sz w:val="32"/>
          <w:szCs w:val="32"/>
          <w:rtl/>
          <w:lang w:val="fr-FR" w:bidi="ar-TN"/>
        </w:rPr>
        <w:footnoteReference w:id="3"/>
      </w:r>
    </w:p>
    <w:p w14:paraId="53D5FCAB" w14:textId="77777777" w:rsidR="00F46073" w:rsidRPr="005D5ED5" w:rsidRDefault="00F46073" w:rsidP="00F46073">
      <w:pPr>
        <w:jc w:val="mediumKashida"/>
        <w:rPr>
          <w:rFonts w:ascii="Simplified Arabic" w:hAnsi="Simplified Arabic" w:cs="Simplified Arabic"/>
          <w:b/>
          <w:bCs/>
          <w:sz w:val="32"/>
          <w:szCs w:val="32"/>
          <w:rtl/>
          <w:lang w:val="fr-FR" w:bidi="ar-TN"/>
        </w:rPr>
      </w:pPr>
      <w:r>
        <w:rPr>
          <w:rFonts w:ascii="Simplified Arabic" w:hAnsi="Simplified Arabic" w:cs="Simplified Arabic" w:hint="cs"/>
          <w:b/>
          <w:bCs/>
          <w:sz w:val="32"/>
          <w:szCs w:val="32"/>
          <w:rtl/>
          <w:lang w:val="fr-FR" w:bidi="ar-TN"/>
        </w:rPr>
        <w:t xml:space="preserve">تعريف </w:t>
      </w:r>
      <w:r w:rsidRPr="005D5ED5">
        <w:rPr>
          <w:rFonts w:ascii="Simplified Arabic" w:hAnsi="Simplified Arabic" w:cs="Simplified Arabic"/>
          <w:b/>
          <w:bCs/>
          <w:sz w:val="32"/>
          <w:szCs w:val="32"/>
          <w:rtl/>
          <w:lang w:val="fr-FR" w:bidi="ar-TN"/>
        </w:rPr>
        <w:t>الحكم</w:t>
      </w:r>
    </w:p>
    <w:p w14:paraId="534B152B" w14:textId="77777777" w:rsidR="00F46073" w:rsidRDefault="00F46073" w:rsidP="00F46073">
      <w:pPr>
        <w:jc w:val="mediumKashida"/>
        <w:rPr>
          <w:rFonts w:ascii="Simplified Arabic" w:hAnsi="Simplified Arabic" w:cs="Simplified Arabic"/>
          <w:sz w:val="32"/>
          <w:szCs w:val="32"/>
          <w:rtl/>
          <w:lang w:val="fr-FR" w:bidi="ar-TN"/>
        </w:rPr>
      </w:pPr>
      <w:r w:rsidRPr="007823D4">
        <w:rPr>
          <w:rFonts w:ascii="Simplified Arabic" w:hAnsi="Simplified Arabic" w:cs="Simplified Arabic"/>
          <w:sz w:val="32"/>
          <w:szCs w:val="32"/>
          <w:rtl/>
          <w:lang w:val="fr-FR" w:bidi="ar-TN"/>
        </w:rPr>
        <w:t xml:space="preserve">الحكمة لغة </w:t>
      </w:r>
      <w:r>
        <w:rPr>
          <w:rFonts w:ascii="Simplified Arabic" w:hAnsi="Simplified Arabic" w:cs="Simplified Arabic"/>
          <w:sz w:val="32"/>
          <w:szCs w:val="32"/>
          <w:rtl/>
          <w:lang w:val="fr-FR" w:bidi="ar-TN"/>
        </w:rPr>
        <w:t>«</w:t>
      </w:r>
      <w:r w:rsidRPr="007823D4">
        <w:rPr>
          <w:rFonts w:ascii="Simplified Arabic" w:hAnsi="Simplified Arabic" w:cs="Simplified Arabic"/>
          <w:sz w:val="32"/>
          <w:szCs w:val="32"/>
          <w:rtl/>
          <w:lang w:val="fr-FR" w:bidi="ar-TN"/>
        </w:rPr>
        <w:t>من الحكم بالضم القضاء، جمع أحكام، وقد حكم عليه بالأمر حكما وحكومة، والحكمة بالكسر العدل، والعلم والحلم والنبوة والقرآن والإنجيل، وأحكمه أتقنه فاستحكم ومنعه عن الفساد»</w:t>
      </w:r>
      <w:r w:rsidRPr="007823D4">
        <w:rPr>
          <w:rStyle w:val="Appelnotedebasdep"/>
          <w:rFonts w:ascii="Simplified Arabic" w:hAnsi="Simplified Arabic" w:cs="Simplified Arabic"/>
          <w:sz w:val="32"/>
          <w:szCs w:val="32"/>
          <w:rtl/>
          <w:lang w:val="fr-FR" w:bidi="ar-TN"/>
        </w:rPr>
        <w:footnoteReference w:id="4"/>
      </w:r>
    </w:p>
    <w:p w14:paraId="027805CA" w14:textId="77777777" w:rsidR="00F46073" w:rsidRPr="007823D4" w:rsidRDefault="00F46073" w:rsidP="00F46073">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 xml:space="preserve">أما اصطلاحا فتدل على ملفوظات أُثر ذكرها عن القدامى، كما تعني </w:t>
      </w:r>
      <w:r>
        <w:rPr>
          <w:rFonts w:ascii="Simplified Arabic" w:hAnsi="Simplified Arabic" w:cs="Simplified Arabic"/>
          <w:sz w:val="32"/>
          <w:szCs w:val="32"/>
          <w:rtl/>
          <w:lang w:val="fr-FR" w:bidi="ar-TN"/>
        </w:rPr>
        <w:t>«</w:t>
      </w:r>
      <w:r>
        <w:rPr>
          <w:rFonts w:ascii="Simplified Arabic" w:hAnsi="Simplified Arabic" w:cs="Simplified Arabic" w:hint="cs"/>
          <w:sz w:val="32"/>
          <w:szCs w:val="32"/>
          <w:rtl/>
          <w:lang w:val="fr-FR" w:bidi="ar-TN"/>
        </w:rPr>
        <w:t>وضع الشيء في موضعه اللائق قولا أو فعلا على أساس من العقل والتجربة والمعرفة</w:t>
      </w:r>
      <w:r>
        <w:rPr>
          <w:rFonts w:ascii="Simplified Arabic" w:hAnsi="Simplified Arabic" w:cs="Simplified Arabic"/>
          <w:sz w:val="32"/>
          <w:szCs w:val="32"/>
          <w:rtl/>
          <w:lang w:val="fr-FR" w:bidi="ar-TN"/>
        </w:rPr>
        <w:t>»</w:t>
      </w:r>
      <w:r>
        <w:rPr>
          <w:rFonts w:ascii="Simplified Arabic" w:hAnsi="Simplified Arabic" w:cs="Simplified Arabic" w:hint="cs"/>
          <w:sz w:val="32"/>
          <w:szCs w:val="32"/>
          <w:rtl/>
          <w:lang w:val="fr-FR" w:bidi="ar-TN"/>
        </w:rPr>
        <w:t xml:space="preserve"> فهي كلام موجز عميق المعنى صادر عن تجربة وخبرة.</w:t>
      </w:r>
    </w:p>
    <w:p w14:paraId="5182D0D3" w14:textId="77777777" w:rsidR="00F46073" w:rsidRPr="005D5ED5" w:rsidRDefault="00F46073" w:rsidP="00F46073">
      <w:pPr>
        <w:jc w:val="mediumKashida"/>
        <w:rPr>
          <w:rFonts w:ascii="Simplified Arabic" w:hAnsi="Simplified Arabic" w:cs="Simplified Arabic"/>
          <w:b/>
          <w:bCs/>
          <w:sz w:val="32"/>
          <w:szCs w:val="32"/>
          <w:rtl/>
          <w:lang w:val="fr-FR" w:bidi="ar-TN"/>
        </w:rPr>
      </w:pPr>
      <w:r w:rsidRPr="005D5ED5">
        <w:rPr>
          <w:rFonts w:ascii="Simplified Arabic" w:hAnsi="Simplified Arabic" w:cs="Simplified Arabic"/>
          <w:b/>
          <w:bCs/>
          <w:sz w:val="32"/>
          <w:szCs w:val="32"/>
          <w:rtl/>
          <w:lang w:val="fr-FR" w:bidi="ar-TN"/>
        </w:rPr>
        <w:t>أشهر الحكم</w:t>
      </w:r>
      <w:r>
        <w:rPr>
          <w:rFonts w:ascii="Simplified Arabic" w:hAnsi="Simplified Arabic" w:cs="Simplified Arabic" w:hint="cs"/>
          <w:b/>
          <w:bCs/>
          <w:sz w:val="32"/>
          <w:szCs w:val="32"/>
          <w:rtl/>
          <w:lang w:val="fr-FR" w:bidi="ar-TN"/>
        </w:rPr>
        <w:t xml:space="preserve"> العربية</w:t>
      </w:r>
    </w:p>
    <w:p w14:paraId="22922292" w14:textId="77777777" w:rsidR="00F46073" w:rsidRPr="00EB04DB" w:rsidRDefault="00F46073" w:rsidP="00F46073">
      <w:pPr>
        <w:jc w:val="mediumKashida"/>
        <w:rPr>
          <w:rFonts w:ascii="Simplified Arabic" w:hAnsi="Simplified Arabic" w:cs="Simplified Arabic"/>
          <w:b/>
          <w:bCs/>
          <w:sz w:val="32"/>
          <w:szCs w:val="32"/>
          <w:rtl/>
          <w:lang w:val="fr-FR" w:bidi="ar-TN"/>
        </w:rPr>
      </w:pPr>
      <w:r>
        <w:rPr>
          <w:rFonts w:ascii="Simplified Arabic" w:hAnsi="Simplified Arabic" w:cs="Simplified Arabic" w:hint="cs"/>
          <w:b/>
          <w:bCs/>
          <w:sz w:val="32"/>
          <w:szCs w:val="32"/>
          <w:rtl/>
          <w:lang w:val="fr-FR" w:bidi="ar-TN"/>
        </w:rPr>
        <w:t>-</w:t>
      </w:r>
      <w:r>
        <w:rPr>
          <w:rFonts w:ascii="Simplified Arabic" w:hAnsi="Simplified Arabic" w:cs="Simplified Arabic"/>
          <w:b/>
          <w:bCs/>
          <w:sz w:val="32"/>
          <w:szCs w:val="32"/>
          <w:rtl/>
          <w:lang w:val="fr-FR" w:bidi="ar-TN"/>
        </w:rPr>
        <w:t>ما</w:t>
      </w:r>
      <w:r>
        <w:rPr>
          <w:rFonts w:ascii="Simplified Arabic" w:hAnsi="Simplified Arabic" w:cs="Simplified Arabic" w:hint="cs"/>
          <w:b/>
          <w:bCs/>
          <w:sz w:val="32"/>
          <w:szCs w:val="32"/>
          <w:rtl/>
          <w:lang w:val="fr-FR" w:bidi="ar-TN"/>
        </w:rPr>
        <w:t xml:space="preserve"> </w:t>
      </w:r>
      <w:r>
        <w:rPr>
          <w:rFonts w:ascii="Simplified Arabic" w:hAnsi="Simplified Arabic" w:cs="Simplified Arabic"/>
          <w:b/>
          <w:bCs/>
          <w:sz w:val="32"/>
          <w:szCs w:val="32"/>
          <w:rtl/>
          <w:lang w:val="fr-FR" w:bidi="ar-TN"/>
        </w:rPr>
        <w:t>ح</w:t>
      </w:r>
      <w:r>
        <w:rPr>
          <w:rFonts w:ascii="Simplified Arabic" w:hAnsi="Simplified Arabic" w:cs="Simplified Arabic" w:hint="cs"/>
          <w:b/>
          <w:bCs/>
          <w:sz w:val="32"/>
          <w:szCs w:val="32"/>
          <w:rtl/>
          <w:lang w:val="fr-FR" w:bidi="ar-TN"/>
        </w:rPr>
        <w:t>ك</w:t>
      </w:r>
      <w:r w:rsidRPr="00EB04DB">
        <w:rPr>
          <w:rFonts w:ascii="Simplified Arabic" w:hAnsi="Simplified Arabic" w:cs="Simplified Arabic"/>
          <w:b/>
          <w:bCs/>
          <w:sz w:val="32"/>
          <w:szCs w:val="32"/>
          <w:rtl/>
          <w:lang w:val="fr-FR" w:bidi="ar-TN"/>
        </w:rPr>
        <w:t xml:space="preserve"> جلدك مثل ظفرك</w:t>
      </w:r>
    </w:p>
    <w:p w14:paraId="5B450571" w14:textId="77777777" w:rsidR="00F46073" w:rsidRDefault="00F46073" w:rsidP="00F46073">
      <w:pPr>
        <w:jc w:val="mediumKashida"/>
        <w:rPr>
          <w:rFonts w:ascii="Simplified Arabic" w:hAnsi="Simplified Arabic" w:cs="Simplified Arabic"/>
          <w:b/>
          <w:bCs/>
          <w:sz w:val="32"/>
          <w:szCs w:val="32"/>
          <w:rtl/>
          <w:lang w:val="fr-FR" w:bidi="ar-TN"/>
        </w:rPr>
      </w:pPr>
      <w:r>
        <w:rPr>
          <w:rFonts w:ascii="Simplified Arabic" w:hAnsi="Simplified Arabic" w:cs="Simplified Arabic" w:hint="cs"/>
          <w:b/>
          <w:bCs/>
          <w:sz w:val="32"/>
          <w:szCs w:val="32"/>
          <w:rtl/>
          <w:lang w:val="fr-FR" w:bidi="ar-TN"/>
        </w:rPr>
        <w:t>-</w:t>
      </w:r>
      <w:r w:rsidRPr="005D5ED5">
        <w:rPr>
          <w:rFonts w:ascii="Simplified Arabic" w:hAnsi="Simplified Arabic" w:cs="Simplified Arabic"/>
          <w:b/>
          <w:bCs/>
          <w:sz w:val="32"/>
          <w:szCs w:val="32"/>
          <w:rtl/>
          <w:lang w:val="fr-FR" w:bidi="ar-TN"/>
        </w:rPr>
        <w:t>اعط القوس باريها</w:t>
      </w:r>
      <w:r w:rsidRPr="005D5ED5">
        <w:rPr>
          <w:rStyle w:val="Appelnotedebasdep"/>
          <w:rFonts w:ascii="Simplified Arabic" w:hAnsi="Simplified Arabic" w:cs="Simplified Arabic"/>
          <w:b/>
          <w:bCs/>
          <w:sz w:val="32"/>
          <w:szCs w:val="32"/>
          <w:rtl/>
          <w:lang w:val="fr-FR" w:bidi="ar-TN"/>
        </w:rPr>
        <w:footnoteReference w:id="5"/>
      </w:r>
    </w:p>
    <w:p w14:paraId="01EEA80E" w14:textId="77777777" w:rsidR="00F46073" w:rsidRDefault="00F46073" w:rsidP="00F46073">
      <w:pPr>
        <w:jc w:val="mediumKashida"/>
        <w:rPr>
          <w:rFonts w:ascii="Simplified Arabic" w:hAnsi="Simplified Arabic" w:cs="Simplified Arabic"/>
          <w:b/>
          <w:bCs/>
          <w:sz w:val="32"/>
          <w:szCs w:val="32"/>
          <w:rtl/>
          <w:lang w:val="fr-FR" w:bidi="ar-TN"/>
        </w:rPr>
      </w:pPr>
      <w:r>
        <w:rPr>
          <w:rFonts w:ascii="Simplified Arabic" w:hAnsi="Simplified Arabic" w:cs="Simplified Arabic" w:hint="cs"/>
          <w:b/>
          <w:bCs/>
          <w:sz w:val="32"/>
          <w:szCs w:val="32"/>
          <w:rtl/>
          <w:lang w:val="fr-FR" w:bidi="ar-TN"/>
        </w:rPr>
        <w:t>وظيفة الأمثال والحكم</w:t>
      </w:r>
    </w:p>
    <w:p w14:paraId="3BB1D90F" w14:textId="77777777" w:rsidR="00F46073" w:rsidRDefault="00F46073" w:rsidP="00F46073">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EB04DB">
        <w:rPr>
          <w:rFonts w:ascii="Simplified Arabic" w:eastAsia="Times New Roman" w:hAnsi="Simplified Arabic" w:cs="Simplified Arabic"/>
          <w:kern w:val="0"/>
          <w:sz w:val="32"/>
          <w:szCs w:val="32"/>
          <w:rtl/>
          <w:lang w:val="fr-FR" w:eastAsia="fr-FR"/>
          <w14:ligatures w14:val="none"/>
        </w:rPr>
        <w:lastRenderedPageBreak/>
        <w:t>تتمثّل الوظيفة الأساسية للأمثال والحِكَم في كونها أدواتٍ ثقافية</w:t>
      </w:r>
      <w:r w:rsidRPr="00EB04DB">
        <w:rPr>
          <w:rFonts w:ascii="Simplified Arabic" w:eastAsia="Times New Roman" w:hAnsi="Simplified Arabic" w:cs="Simplified Arabic"/>
          <w:b/>
          <w:bCs/>
          <w:kern w:val="0"/>
          <w:sz w:val="32"/>
          <w:szCs w:val="32"/>
          <w:rtl/>
          <w:lang w:val="fr-FR" w:eastAsia="fr-FR"/>
          <w14:ligatures w14:val="none"/>
        </w:rPr>
        <w:t> </w:t>
      </w:r>
      <w:r w:rsidRPr="00EB04DB">
        <w:rPr>
          <w:rFonts w:ascii="Simplified Arabic" w:eastAsia="Times New Roman" w:hAnsi="Simplified Arabic" w:cs="Simplified Arabic"/>
          <w:kern w:val="0"/>
          <w:sz w:val="32"/>
          <w:szCs w:val="32"/>
          <w:rtl/>
          <w:lang w:val="fr-FR" w:eastAsia="fr-FR"/>
          <w14:ligatures w14:val="none"/>
        </w:rPr>
        <w:t>تنظيميةً وتفسيريةً، حيث تؤدّي دوراً مزدوجاً في صياغة الوعي الجمعي و</w:t>
      </w:r>
      <w:r>
        <w:rPr>
          <w:rFonts w:ascii="Simplified Arabic" w:eastAsia="Times New Roman" w:hAnsi="Simplified Arabic" w:cs="Simplified Arabic"/>
          <w:kern w:val="0"/>
          <w:sz w:val="32"/>
          <w:szCs w:val="32"/>
          <w:rtl/>
          <w:lang w:val="fr-FR" w:eastAsia="fr-FR"/>
          <w14:ligatures w14:val="none"/>
        </w:rPr>
        <w:t>توجيه السلوك الفردي</w:t>
      </w:r>
      <w:r>
        <w:rPr>
          <w:rFonts w:ascii="Simplified Arabic" w:eastAsia="Times New Roman" w:hAnsi="Simplified Arabic" w:cs="Simplified Arabic" w:hint="cs"/>
          <w:kern w:val="0"/>
          <w:sz w:val="32"/>
          <w:szCs w:val="32"/>
          <w:rtl/>
          <w:lang w:val="fr-FR" w:eastAsia="fr-FR"/>
          <w14:ligatures w14:val="none"/>
        </w:rPr>
        <w:t xml:space="preserve"> والاجتماع بوصفها </w:t>
      </w:r>
      <w:r w:rsidRPr="00EB04DB">
        <w:rPr>
          <w:rFonts w:ascii="Simplified Arabic" w:eastAsia="Times New Roman" w:hAnsi="Simplified Arabic" w:cs="Simplified Arabic"/>
          <w:kern w:val="0"/>
          <w:sz w:val="32"/>
          <w:szCs w:val="32"/>
          <w:rtl/>
          <w:lang w:val="fr-FR" w:eastAsia="fr-FR"/>
          <w14:ligatures w14:val="none"/>
        </w:rPr>
        <w:t>شفرات أخلاقية مُختزَلة تُقدّم حلولاً ومعايير</w:t>
      </w:r>
      <w:r>
        <w:rPr>
          <w:rFonts w:ascii="Simplified Arabic" w:eastAsia="Times New Roman" w:hAnsi="Simplified Arabic" w:cs="Simplified Arabic"/>
          <w:kern w:val="0"/>
          <w:sz w:val="32"/>
          <w:szCs w:val="32"/>
          <w:rtl/>
          <w:lang w:val="fr-FR" w:eastAsia="fr-FR"/>
          <w14:ligatures w14:val="none"/>
        </w:rPr>
        <w:t>َ ضمنيةً لتقييم المواقف اليومية</w:t>
      </w:r>
      <w:r w:rsidRPr="00EB04DB">
        <w:rPr>
          <w:rFonts w:ascii="Simplified Arabic" w:eastAsia="Times New Roman" w:hAnsi="Simplified Arabic" w:cs="Simplified Arabic"/>
          <w:kern w:val="0"/>
          <w:sz w:val="32"/>
          <w:szCs w:val="32"/>
          <w:rtl/>
          <w:lang w:val="fr-FR" w:eastAsia="fr-FR"/>
          <w14:ligatures w14:val="none"/>
        </w:rPr>
        <w:t xml:space="preserve"> مُحوِّلةً </w:t>
      </w:r>
      <w:r>
        <w:rPr>
          <w:rFonts w:ascii="Simplified Arabic" w:eastAsia="Times New Roman" w:hAnsi="Simplified Arabic" w:cs="Simplified Arabic" w:hint="cs"/>
          <w:kern w:val="0"/>
          <w:sz w:val="32"/>
          <w:szCs w:val="32"/>
          <w:rtl/>
          <w:lang w:val="fr-FR" w:eastAsia="fr-FR"/>
          <w14:ligatures w14:val="none"/>
        </w:rPr>
        <w:t xml:space="preserve">في ذلك </w:t>
      </w:r>
      <w:r w:rsidRPr="00EB04DB">
        <w:rPr>
          <w:rFonts w:ascii="Simplified Arabic" w:eastAsia="Times New Roman" w:hAnsi="Simplified Arabic" w:cs="Simplified Arabic"/>
          <w:kern w:val="0"/>
          <w:sz w:val="32"/>
          <w:szCs w:val="32"/>
          <w:rtl/>
          <w:lang w:val="fr-FR" w:eastAsia="fr-FR"/>
          <w14:ligatures w14:val="none"/>
        </w:rPr>
        <w:t xml:space="preserve">التجارب التاريخية المتكررة إلى قواعدَ عمليةٍ سهلة التداول. </w:t>
      </w:r>
    </w:p>
    <w:p w14:paraId="30E0E23A" w14:textId="77777777" w:rsidR="00F46073" w:rsidRPr="00EB04DB" w:rsidRDefault="00F46073" w:rsidP="00F46073">
      <w:pPr>
        <w:spacing w:before="100" w:beforeAutospacing="1" w:after="100" w:afterAutospacing="1" w:line="240" w:lineRule="auto"/>
        <w:jc w:val="mediumKashida"/>
        <w:rPr>
          <w:rFonts w:ascii="Simplified Arabic" w:eastAsia="Times New Roman" w:hAnsi="Simplified Arabic" w:cs="Simplified Arabic"/>
          <w:kern w:val="0"/>
          <w:sz w:val="32"/>
          <w:szCs w:val="32"/>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كما تؤدي الأمثال والحكم من جهة أخرى</w:t>
      </w:r>
      <w:r w:rsidRPr="00EB04DB">
        <w:rPr>
          <w:rFonts w:ascii="Simplified Arabic" w:eastAsia="Times New Roman" w:hAnsi="Simplified Arabic" w:cs="Simplified Arabic"/>
          <w:kern w:val="0"/>
          <w:sz w:val="32"/>
          <w:szCs w:val="32"/>
          <w:rtl/>
          <w:lang w:val="fr-FR" w:eastAsia="fr-FR"/>
          <w14:ligatures w14:val="none"/>
        </w:rPr>
        <w:t xml:space="preserve"> وظيفة تفسيرية كبرى من خلال توفير إطارٍ فكريٍّ يُضفي معنىً على الأحداث المُفاجئة أو المُعقَّدة، وذلك بربطها بنماذجَ سرديةٍ مألوفةٍ تُسهم </w:t>
      </w:r>
      <w:r>
        <w:rPr>
          <w:rFonts w:ascii="Simplified Arabic" w:eastAsia="Times New Roman" w:hAnsi="Simplified Arabic" w:cs="Simplified Arabic" w:hint="cs"/>
          <w:kern w:val="0"/>
          <w:sz w:val="32"/>
          <w:szCs w:val="32"/>
          <w:rtl/>
          <w:lang w:val="fr-FR" w:eastAsia="fr-FR"/>
          <w14:ligatures w14:val="none"/>
        </w:rPr>
        <w:t xml:space="preserve">في </w:t>
      </w:r>
      <w:r w:rsidRPr="00EB04DB">
        <w:rPr>
          <w:rFonts w:ascii="Simplified Arabic" w:eastAsia="Times New Roman" w:hAnsi="Simplified Arabic" w:cs="Simplified Arabic"/>
          <w:kern w:val="0"/>
          <w:sz w:val="32"/>
          <w:szCs w:val="32"/>
          <w:rtl/>
          <w:lang w:val="fr-FR" w:eastAsia="fr-FR"/>
          <w14:ligatures w14:val="none"/>
        </w:rPr>
        <w:t>تعزيز التماسك الاجتماعي عبر توحيد الرؤى وتكريس قيم الجماعة،</w:t>
      </w:r>
      <w:r>
        <w:rPr>
          <w:rFonts w:ascii="Simplified Arabic" w:eastAsia="Times New Roman" w:hAnsi="Simplified Arabic" w:cs="Simplified Arabic" w:hint="cs"/>
          <w:kern w:val="0"/>
          <w:sz w:val="32"/>
          <w:szCs w:val="32"/>
          <w:rtl/>
          <w:lang w:val="fr-FR" w:eastAsia="fr-FR"/>
          <w14:ligatures w14:val="none"/>
        </w:rPr>
        <w:t xml:space="preserve"> ثم</w:t>
      </w:r>
      <w:r>
        <w:rPr>
          <w:rFonts w:ascii="Simplified Arabic" w:eastAsia="Times New Roman" w:hAnsi="Simplified Arabic" w:cs="Simplified Arabic"/>
          <w:kern w:val="0"/>
          <w:sz w:val="32"/>
          <w:szCs w:val="32"/>
          <w:rtl/>
          <w:lang w:val="fr-FR" w:eastAsia="fr-FR"/>
          <w14:ligatures w14:val="none"/>
        </w:rPr>
        <w:t xml:space="preserve"> تتجاوز الأمثال</w:t>
      </w:r>
      <w:r>
        <w:rPr>
          <w:rFonts w:ascii="Simplified Arabic" w:eastAsia="Times New Roman" w:hAnsi="Simplified Arabic" w:cs="Simplified Arabic" w:hint="cs"/>
          <w:kern w:val="0"/>
          <w:sz w:val="32"/>
          <w:szCs w:val="32"/>
          <w:rtl/>
          <w:lang w:val="fr-FR" w:eastAsia="fr-FR"/>
          <w14:ligatures w14:val="none"/>
        </w:rPr>
        <w:t xml:space="preserve"> والحكم</w:t>
      </w:r>
      <w:r w:rsidRPr="00EB04DB">
        <w:rPr>
          <w:rFonts w:ascii="Simplified Arabic" w:eastAsia="Times New Roman" w:hAnsi="Simplified Arabic" w:cs="Simplified Arabic"/>
          <w:kern w:val="0"/>
          <w:sz w:val="32"/>
          <w:szCs w:val="32"/>
          <w:rtl/>
          <w:lang w:val="fr-FR" w:eastAsia="fr-FR"/>
          <w14:ligatures w14:val="none"/>
        </w:rPr>
        <w:t xml:space="preserve"> دورَها التعبيري </w:t>
      </w:r>
      <w:r>
        <w:rPr>
          <w:rFonts w:ascii="Simplified Arabic" w:eastAsia="Times New Roman" w:hAnsi="Simplified Arabic" w:cs="Simplified Arabic" w:hint="cs"/>
          <w:kern w:val="0"/>
          <w:sz w:val="32"/>
          <w:szCs w:val="32"/>
          <w:rtl/>
          <w:lang w:val="fr-FR" w:eastAsia="fr-FR"/>
          <w14:ligatures w14:val="none"/>
        </w:rPr>
        <w:t xml:space="preserve">المقترن بالجوانب </w:t>
      </w:r>
      <w:r w:rsidRPr="00EB04DB">
        <w:rPr>
          <w:rFonts w:ascii="Simplified Arabic" w:eastAsia="Times New Roman" w:hAnsi="Simplified Arabic" w:cs="Simplified Arabic"/>
          <w:kern w:val="0"/>
          <w:sz w:val="32"/>
          <w:szCs w:val="32"/>
          <w:rtl/>
          <w:lang w:val="fr-FR" w:eastAsia="fr-FR"/>
          <w14:ligatures w14:val="none"/>
        </w:rPr>
        <w:t>البلاغي</w:t>
      </w:r>
      <w:r>
        <w:rPr>
          <w:rFonts w:ascii="Simplified Arabic" w:eastAsia="Times New Roman" w:hAnsi="Simplified Arabic" w:cs="Simplified Arabic" w:hint="cs"/>
          <w:kern w:val="0"/>
          <w:sz w:val="32"/>
          <w:szCs w:val="32"/>
          <w:rtl/>
          <w:lang w:val="fr-FR" w:eastAsia="fr-FR"/>
          <w14:ligatures w14:val="none"/>
        </w:rPr>
        <w:t>ة</w:t>
      </w:r>
      <w:r w:rsidRPr="00EB04DB">
        <w:rPr>
          <w:rFonts w:ascii="Simplified Arabic" w:eastAsia="Times New Roman" w:hAnsi="Simplified Arabic" w:cs="Simplified Arabic"/>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لتتحول إلى</w:t>
      </w:r>
      <w:r w:rsidRPr="00EB04DB">
        <w:rPr>
          <w:rFonts w:ascii="Simplified Arabic" w:eastAsia="Times New Roman" w:hAnsi="Simplified Arabic" w:cs="Simplified Arabic"/>
          <w:kern w:val="0"/>
          <w:sz w:val="32"/>
          <w:szCs w:val="32"/>
          <w:rtl/>
          <w:lang w:val="fr-FR" w:eastAsia="fr-FR"/>
          <w14:ligatures w14:val="none"/>
        </w:rPr>
        <w:t> منظومةً معرفيةً شعبيةً </w:t>
      </w:r>
      <w:r>
        <w:rPr>
          <w:rFonts w:ascii="Simplified Arabic" w:eastAsia="Times New Roman" w:hAnsi="Simplified Arabic" w:cs="Simplified Arabic" w:hint="cs"/>
          <w:kern w:val="0"/>
          <w:sz w:val="32"/>
          <w:szCs w:val="32"/>
          <w:rtl/>
          <w:lang w:val="fr-FR" w:eastAsia="fr-FR"/>
          <w14:ligatures w14:val="none"/>
        </w:rPr>
        <w:t xml:space="preserve">وثقافية </w:t>
      </w:r>
      <w:r w:rsidRPr="00EB04DB">
        <w:rPr>
          <w:rFonts w:ascii="Simplified Arabic" w:eastAsia="Times New Roman" w:hAnsi="Simplified Arabic" w:cs="Simplified Arabic"/>
          <w:kern w:val="0"/>
          <w:sz w:val="32"/>
          <w:szCs w:val="32"/>
          <w:rtl/>
          <w:lang w:val="fr-FR" w:eastAsia="fr-FR"/>
          <w14:ligatures w14:val="none"/>
        </w:rPr>
        <w:t xml:space="preserve">تُشكّل رؤيةَ </w:t>
      </w:r>
      <w:r>
        <w:rPr>
          <w:rFonts w:ascii="Simplified Arabic" w:eastAsia="Times New Roman" w:hAnsi="Simplified Arabic" w:cs="Simplified Arabic" w:hint="cs"/>
          <w:kern w:val="0"/>
          <w:sz w:val="32"/>
          <w:szCs w:val="32"/>
          <w:rtl/>
          <w:lang w:val="fr-FR" w:eastAsia="fr-FR"/>
          <w14:ligatures w14:val="none"/>
        </w:rPr>
        <w:t xml:space="preserve">أمة معينة </w:t>
      </w:r>
      <w:r w:rsidRPr="00EB04DB">
        <w:rPr>
          <w:rFonts w:ascii="Simplified Arabic" w:eastAsia="Times New Roman" w:hAnsi="Simplified Arabic" w:cs="Simplified Arabic"/>
          <w:kern w:val="0"/>
          <w:sz w:val="32"/>
          <w:szCs w:val="32"/>
          <w:rtl/>
          <w:lang w:val="fr-FR" w:eastAsia="fr-FR"/>
          <w14:ligatures w14:val="none"/>
        </w:rPr>
        <w:t>ضمن إطار الهُوية الحضارية</w:t>
      </w:r>
      <w:r>
        <w:rPr>
          <w:rFonts w:ascii="Simplified Arabic" w:eastAsia="Times New Roman" w:hAnsi="Simplified Arabic" w:cs="Simplified Arabic" w:hint="cs"/>
          <w:kern w:val="0"/>
          <w:sz w:val="32"/>
          <w:szCs w:val="32"/>
          <w:rtl/>
          <w:lang w:val="fr-FR" w:eastAsia="fr-FR"/>
          <w14:ligatures w14:val="none"/>
        </w:rPr>
        <w:t xml:space="preserve"> التي تنتمي إليها</w:t>
      </w:r>
      <w:r w:rsidRPr="00EB04DB">
        <w:rPr>
          <w:rFonts w:ascii="Simplified Arabic" w:eastAsia="Times New Roman" w:hAnsi="Simplified Arabic" w:cs="Simplified Arabic"/>
          <w:kern w:val="0"/>
          <w:sz w:val="32"/>
          <w:szCs w:val="32"/>
          <w:lang w:val="fr-FR" w:eastAsia="fr-FR"/>
          <w14:ligatures w14:val="none"/>
        </w:rPr>
        <w:t>.</w:t>
      </w:r>
    </w:p>
    <w:p w14:paraId="0F6B3651" w14:textId="6324C695" w:rsidR="00AB4054" w:rsidRPr="00F46073" w:rsidRDefault="00AB4054" w:rsidP="00AB4054">
      <w:pPr>
        <w:jc w:val="mediumKashida"/>
        <w:rPr>
          <w:rFonts w:ascii="Simplified Arabic" w:hAnsi="Simplified Arabic" w:cs="Simplified Arabic"/>
          <w:b/>
          <w:bCs/>
          <w:sz w:val="32"/>
          <w:szCs w:val="32"/>
          <w:rtl/>
          <w:lang w:val="fr-FR" w:bidi="ar-TN"/>
        </w:rPr>
      </w:pPr>
    </w:p>
    <w:sectPr w:rsidR="00AB4054" w:rsidRPr="00F46073"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FC5C4" w14:textId="77777777" w:rsidR="003206F5" w:rsidRDefault="003206F5" w:rsidP="00D13693">
      <w:pPr>
        <w:spacing w:after="0" w:line="240" w:lineRule="auto"/>
      </w:pPr>
      <w:r>
        <w:separator/>
      </w:r>
    </w:p>
  </w:endnote>
  <w:endnote w:type="continuationSeparator" w:id="0">
    <w:p w14:paraId="71D1108E" w14:textId="77777777" w:rsidR="003206F5" w:rsidRDefault="003206F5"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53886" w14:textId="77777777" w:rsidR="003206F5" w:rsidRDefault="003206F5" w:rsidP="00D13693">
      <w:pPr>
        <w:spacing w:after="0" w:line="240" w:lineRule="auto"/>
      </w:pPr>
      <w:r>
        <w:separator/>
      </w:r>
    </w:p>
  </w:footnote>
  <w:footnote w:type="continuationSeparator" w:id="0">
    <w:p w14:paraId="0929EB9C" w14:textId="77777777" w:rsidR="003206F5" w:rsidRDefault="003206F5" w:rsidP="00D13693">
      <w:pPr>
        <w:spacing w:after="0" w:line="240" w:lineRule="auto"/>
      </w:pPr>
      <w:r>
        <w:continuationSeparator/>
      </w:r>
    </w:p>
  </w:footnote>
  <w:footnote w:id="1">
    <w:p w14:paraId="3E53AA61" w14:textId="77777777" w:rsidR="00F46073" w:rsidRPr="005D5ED5" w:rsidRDefault="00F46073" w:rsidP="00F46073">
      <w:pPr>
        <w:pStyle w:val="Notedebasdepage"/>
        <w:rPr>
          <w:rFonts w:ascii="Simplified Arabic" w:hAnsi="Simplified Arabic" w:cs="Simplified Arabic"/>
          <w:sz w:val="24"/>
          <w:szCs w:val="24"/>
          <w:lang w:bidi="ar-TN"/>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sidRPr="005D5ED5">
        <w:rPr>
          <w:rFonts w:ascii="Simplified Arabic" w:hAnsi="Simplified Arabic" w:cs="Simplified Arabic"/>
          <w:sz w:val="24"/>
          <w:szCs w:val="24"/>
          <w:rtl/>
          <w:lang w:bidi="ar-TN"/>
        </w:rPr>
        <w:t>-ينظر، سعد بوفلاقة، دراسات في الأدب الجاهلي، منشورات جامعة باجي مختار، عنابة، 2006، ص 151.</w:t>
      </w:r>
    </w:p>
  </w:footnote>
  <w:footnote w:id="2">
    <w:p w14:paraId="2ABC26E1" w14:textId="77777777" w:rsidR="00F46073" w:rsidRPr="005D5ED5" w:rsidRDefault="00F46073" w:rsidP="00F46073">
      <w:pPr>
        <w:pStyle w:val="Notedebasdepage"/>
        <w:rPr>
          <w:rFonts w:ascii="Simplified Arabic" w:hAnsi="Simplified Arabic" w:cs="Simplified Arabic"/>
          <w:sz w:val="24"/>
          <w:szCs w:val="24"/>
          <w:lang w:bidi="ar-TN"/>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sidRPr="005D5ED5">
        <w:rPr>
          <w:rFonts w:ascii="Simplified Arabic" w:hAnsi="Simplified Arabic" w:cs="Simplified Arabic"/>
          <w:sz w:val="24"/>
          <w:szCs w:val="24"/>
          <w:rtl/>
          <w:lang w:bidi="ar-TN"/>
        </w:rPr>
        <w:t>-ابن منظور، لسان العرب، مادة (مثل) ص 122.</w:t>
      </w:r>
    </w:p>
  </w:footnote>
  <w:footnote w:id="3">
    <w:p w14:paraId="0F2C3ED6" w14:textId="77777777" w:rsidR="00F46073" w:rsidRPr="005D5ED5" w:rsidRDefault="00F46073" w:rsidP="00F46073">
      <w:pPr>
        <w:pStyle w:val="Notedebasdepage"/>
        <w:rPr>
          <w:rFonts w:ascii="Simplified Arabic" w:hAnsi="Simplified Arabic" w:cs="Simplified Arabic"/>
          <w:sz w:val="24"/>
          <w:szCs w:val="24"/>
          <w:lang w:bidi="ar-TN"/>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sidRPr="005D5ED5">
        <w:rPr>
          <w:rFonts w:ascii="Simplified Arabic" w:hAnsi="Simplified Arabic" w:cs="Simplified Arabic"/>
          <w:sz w:val="24"/>
          <w:szCs w:val="24"/>
          <w:rtl/>
          <w:lang w:bidi="ar-TN"/>
        </w:rPr>
        <w:t>ينظر، المرجع نفسه، ص 152.</w:t>
      </w:r>
    </w:p>
  </w:footnote>
  <w:footnote w:id="4">
    <w:p w14:paraId="2F735AF4" w14:textId="68367906" w:rsidR="00F46073" w:rsidRPr="005D5ED5" w:rsidRDefault="00F46073" w:rsidP="00F46073">
      <w:pPr>
        <w:pStyle w:val="Notedebasdepage"/>
        <w:rPr>
          <w:rFonts w:ascii="Simplified Arabic" w:hAnsi="Simplified Arabic" w:cs="Simplified Arabic"/>
          <w:sz w:val="24"/>
          <w:szCs w:val="24"/>
          <w:lang w:bidi="ar-TN"/>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sidRPr="005D5ED5">
        <w:rPr>
          <w:rFonts w:ascii="Simplified Arabic" w:hAnsi="Simplified Arabic" w:cs="Simplified Arabic"/>
          <w:sz w:val="24"/>
          <w:szCs w:val="24"/>
          <w:rtl/>
          <w:lang w:bidi="ar-TN"/>
        </w:rPr>
        <w:t>-مجد الدين محمد بن يعقوب الفيروزأبادي، قاموس المحيط، تحقيق محمد نعيم، العرقسوسي، مؤسسة الرسالة، بيروت، لبنان، الط</w:t>
      </w:r>
      <w:r w:rsidR="00CB1664">
        <w:rPr>
          <w:rFonts w:ascii="Simplified Arabic" w:hAnsi="Simplified Arabic" w:cs="Simplified Arabic" w:hint="cs"/>
          <w:sz w:val="24"/>
          <w:szCs w:val="24"/>
          <w:rtl/>
          <w:lang w:bidi="ar-TN"/>
        </w:rPr>
        <w:t>ب</w:t>
      </w:r>
      <w:r w:rsidRPr="005D5ED5">
        <w:rPr>
          <w:rFonts w:ascii="Simplified Arabic" w:hAnsi="Simplified Arabic" w:cs="Simplified Arabic"/>
          <w:sz w:val="24"/>
          <w:szCs w:val="24"/>
          <w:rtl/>
          <w:lang w:bidi="ar-TN"/>
        </w:rPr>
        <w:t>عة الثامنة، مادة حكم، ص 1094.</w:t>
      </w:r>
    </w:p>
  </w:footnote>
  <w:footnote w:id="5">
    <w:p w14:paraId="777519DB" w14:textId="0CCDCB20" w:rsidR="00F46073" w:rsidRPr="005D5ED5" w:rsidRDefault="00F46073" w:rsidP="00F46073">
      <w:pPr>
        <w:pStyle w:val="Notedebasdepage"/>
        <w:rPr>
          <w:rFonts w:ascii="Simplified Arabic" w:hAnsi="Simplified Arabic" w:cs="Simplified Arabic"/>
          <w:sz w:val="24"/>
          <w:szCs w:val="24"/>
          <w:lang w:bidi="ar-TN"/>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sidRPr="005D5ED5">
        <w:rPr>
          <w:rFonts w:ascii="Simplified Arabic" w:hAnsi="Simplified Arabic" w:cs="Simplified Arabic"/>
          <w:sz w:val="24"/>
          <w:szCs w:val="24"/>
          <w:rtl/>
          <w:lang w:bidi="ar-TN"/>
        </w:rPr>
        <w:t xml:space="preserve">-سعيد بوفلاقة، دراسات في الأدب الجاهلي، </w:t>
      </w:r>
      <w:r w:rsidR="00CB1664">
        <w:rPr>
          <w:rFonts w:ascii="Simplified Arabic" w:hAnsi="Simplified Arabic" w:cs="Simplified Arabic" w:hint="cs"/>
          <w:sz w:val="24"/>
          <w:szCs w:val="24"/>
          <w:rtl/>
          <w:lang w:bidi="ar-TN"/>
        </w:rPr>
        <w:t xml:space="preserve">مرجع سابق، </w:t>
      </w:r>
      <w:r w:rsidRPr="005D5ED5">
        <w:rPr>
          <w:rFonts w:ascii="Simplified Arabic" w:hAnsi="Simplified Arabic" w:cs="Simplified Arabic"/>
          <w:sz w:val="24"/>
          <w:szCs w:val="24"/>
          <w:rtl/>
          <w:lang w:bidi="ar-TN"/>
        </w:rPr>
        <w:t>ص 153.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5974"/>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103BD"/>
    <w:rsid w:val="0031173F"/>
    <w:rsid w:val="0032069D"/>
    <w:rsid w:val="003206F5"/>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91561"/>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82374"/>
    <w:rsid w:val="00684199"/>
    <w:rsid w:val="00684F24"/>
    <w:rsid w:val="0068660E"/>
    <w:rsid w:val="006A2DB6"/>
    <w:rsid w:val="006A44DD"/>
    <w:rsid w:val="006A4FC3"/>
    <w:rsid w:val="006A6CAC"/>
    <w:rsid w:val="006B0C45"/>
    <w:rsid w:val="006B4FDB"/>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91234"/>
    <w:rsid w:val="007A0B31"/>
    <w:rsid w:val="007A0FEB"/>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611F0"/>
    <w:rsid w:val="00962BF7"/>
    <w:rsid w:val="009634D9"/>
    <w:rsid w:val="009643FF"/>
    <w:rsid w:val="00971361"/>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228C"/>
    <w:rsid w:val="009C4C16"/>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3704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1664"/>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46073"/>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C59C5"/>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97780">
      <w:bodyDiv w:val="1"/>
      <w:marLeft w:val="0"/>
      <w:marRight w:val="0"/>
      <w:marTop w:val="0"/>
      <w:marBottom w:val="0"/>
      <w:divBdr>
        <w:top w:val="none" w:sz="0" w:space="0" w:color="auto"/>
        <w:left w:val="none" w:sz="0" w:space="0" w:color="auto"/>
        <w:bottom w:val="none" w:sz="0" w:space="0" w:color="auto"/>
        <w:right w:val="none" w:sz="0" w:space="0" w:color="auto"/>
      </w:divBdr>
      <w:divsChild>
        <w:div w:id="398287738">
          <w:marLeft w:val="0"/>
          <w:marRight w:val="0"/>
          <w:marTop w:val="0"/>
          <w:marBottom w:val="0"/>
          <w:divBdr>
            <w:top w:val="none" w:sz="0" w:space="0" w:color="auto"/>
            <w:left w:val="none" w:sz="0" w:space="0" w:color="auto"/>
            <w:bottom w:val="none" w:sz="0" w:space="0" w:color="auto"/>
            <w:right w:val="none" w:sz="0" w:space="0" w:color="auto"/>
          </w:divBdr>
          <w:divsChild>
            <w:div w:id="1953440064">
              <w:marLeft w:val="0"/>
              <w:marRight w:val="0"/>
              <w:marTop w:val="90"/>
              <w:marBottom w:val="0"/>
              <w:divBdr>
                <w:top w:val="none" w:sz="0" w:space="0" w:color="auto"/>
                <w:left w:val="none" w:sz="0" w:space="0" w:color="auto"/>
                <w:bottom w:val="none" w:sz="0" w:space="0" w:color="auto"/>
                <w:right w:val="none" w:sz="0" w:space="0" w:color="auto"/>
              </w:divBdr>
              <w:divsChild>
                <w:div w:id="1775242274">
                  <w:marLeft w:val="0"/>
                  <w:marRight w:val="0"/>
                  <w:marTop w:val="0"/>
                  <w:marBottom w:val="0"/>
                  <w:divBdr>
                    <w:top w:val="none" w:sz="0" w:space="0" w:color="auto"/>
                    <w:left w:val="none" w:sz="0" w:space="0" w:color="auto"/>
                    <w:bottom w:val="none" w:sz="0" w:space="0" w:color="auto"/>
                    <w:right w:val="none" w:sz="0" w:space="0" w:color="auto"/>
                  </w:divBdr>
                  <w:divsChild>
                    <w:div w:id="1466503632">
                      <w:marLeft w:val="0"/>
                      <w:marRight w:val="0"/>
                      <w:marTop w:val="0"/>
                      <w:marBottom w:val="0"/>
                      <w:divBdr>
                        <w:top w:val="none" w:sz="0" w:space="0" w:color="auto"/>
                        <w:left w:val="none" w:sz="0" w:space="0" w:color="auto"/>
                        <w:bottom w:val="none" w:sz="0" w:space="0" w:color="auto"/>
                        <w:right w:val="none" w:sz="0" w:space="0" w:color="auto"/>
                      </w:divBdr>
                      <w:divsChild>
                        <w:div w:id="8011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032658">
          <w:marLeft w:val="0"/>
          <w:marRight w:val="0"/>
          <w:marTop w:val="0"/>
          <w:marBottom w:val="0"/>
          <w:divBdr>
            <w:top w:val="none" w:sz="0" w:space="0" w:color="auto"/>
            <w:left w:val="none" w:sz="0" w:space="0" w:color="auto"/>
            <w:bottom w:val="none" w:sz="0" w:space="0" w:color="auto"/>
            <w:right w:val="none" w:sz="0" w:space="0" w:color="auto"/>
          </w:divBdr>
          <w:divsChild>
            <w:div w:id="739518109">
              <w:marLeft w:val="0"/>
              <w:marRight w:val="0"/>
              <w:marTop w:val="0"/>
              <w:marBottom w:val="0"/>
              <w:divBdr>
                <w:top w:val="none" w:sz="0" w:space="0" w:color="auto"/>
                <w:left w:val="none" w:sz="0" w:space="0" w:color="auto"/>
                <w:bottom w:val="none" w:sz="0" w:space="0" w:color="auto"/>
                <w:right w:val="none" w:sz="0" w:space="0" w:color="auto"/>
              </w:divBdr>
              <w:divsChild>
                <w:div w:id="1910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9DC4-B821-4226-A8BE-B17959F34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1</Pages>
  <Words>402</Words>
  <Characters>2215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171</cp:revision>
  <dcterms:created xsi:type="dcterms:W3CDTF">2023-12-10T10:52:00Z</dcterms:created>
  <dcterms:modified xsi:type="dcterms:W3CDTF">2026-01-27T21:26:00Z</dcterms:modified>
</cp:coreProperties>
</file>