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1985C" w14:textId="4B2DF54C" w:rsidR="00CA6AFE" w:rsidRDefault="006B1755" w:rsidP="006B1755">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المحاضرة الثامن</w:t>
      </w:r>
      <w:r w:rsidR="00CA6AFE">
        <w:rPr>
          <w:rFonts w:ascii="Simplified Arabic" w:hAnsi="Simplified Arabic" w:cs="Simplified Arabic" w:hint="cs"/>
          <w:b/>
          <w:bCs/>
          <w:sz w:val="32"/>
          <w:szCs w:val="32"/>
          <w:rtl/>
          <w:lang w:val="en-GB" w:bidi="ar-TN"/>
        </w:rPr>
        <w:t>ة</w:t>
      </w:r>
      <w:r>
        <w:rPr>
          <w:rFonts w:ascii="Simplified Arabic" w:hAnsi="Simplified Arabic" w:cs="Simplified Arabic" w:hint="cs"/>
          <w:b/>
          <w:bCs/>
          <w:sz w:val="32"/>
          <w:szCs w:val="32"/>
          <w:rtl/>
          <w:lang w:val="en-GB" w:bidi="ar-TN"/>
        </w:rPr>
        <w:t>-الأجناس النثرية السردية</w:t>
      </w:r>
      <w:bookmarkStart w:id="0" w:name="_GoBack"/>
      <w:bookmarkEnd w:id="0"/>
      <w:r w:rsidR="00CA6AFE">
        <w:rPr>
          <w:rFonts w:ascii="Simplified Arabic" w:hAnsi="Simplified Arabic" w:cs="Simplified Arabic" w:hint="cs"/>
          <w:b/>
          <w:bCs/>
          <w:sz w:val="32"/>
          <w:szCs w:val="32"/>
          <w:rtl/>
          <w:lang w:val="en-GB" w:bidi="ar-TN"/>
        </w:rPr>
        <w:t>-</w:t>
      </w:r>
      <w:r w:rsidR="00CA6AFE" w:rsidRPr="00481168">
        <w:rPr>
          <w:rFonts w:ascii="Simplified Arabic" w:hAnsi="Simplified Arabic" w:cs="Simplified Arabic"/>
          <w:b/>
          <w:bCs/>
          <w:sz w:val="32"/>
          <w:szCs w:val="32"/>
          <w:rtl/>
          <w:lang w:val="en-GB" w:bidi="ar-TN"/>
        </w:rPr>
        <w:t>الرواية</w:t>
      </w:r>
    </w:p>
    <w:p w14:paraId="0B0EDE30" w14:textId="77777777" w:rsidR="00CA6AFE" w:rsidRPr="005E6829" w:rsidRDefault="00CA6AFE" w:rsidP="00CA6AFE">
      <w:pPr>
        <w:jc w:val="mediumKashida"/>
        <w:rPr>
          <w:rFonts w:ascii="Simplified Arabic" w:hAnsi="Simplified Arabic" w:cs="Simplified Arabic"/>
          <w:color w:val="0F1115"/>
          <w:sz w:val="32"/>
          <w:szCs w:val="32"/>
          <w:shd w:val="clear" w:color="auto" w:fill="FFFFFF"/>
          <w:rtl/>
        </w:rPr>
      </w:pPr>
      <w:r w:rsidRPr="005E6829">
        <w:rPr>
          <w:rFonts w:ascii="Simplified Arabic" w:hAnsi="Simplified Arabic" w:cs="Simplified Arabic"/>
          <w:color w:val="0F1115"/>
          <w:sz w:val="32"/>
          <w:szCs w:val="32"/>
          <w:shd w:val="clear" w:color="auto" w:fill="FFFFFF"/>
          <w:rtl/>
        </w:rPr>
        <w:t>تعد الرواية واحدة من أبرز الأجناس الأدبية النثرية هيم</w:t>
      </w:r>
      <w:r>
        <w:rPr>
          <w:rFonts w:ascii="Simplified Arabic" w:hAnsi="Simplified Arabic" w:cs="Simplified Arabic"/>
          <w:color w:val="0F1115"/>
          <w:sz w:val="32"/>
          <w:szCs w:val="32"/>
          <w:shd w:val="clear" w:color="auto" w:fill="FFFFFF"/>
          <w:rtl/>
        </w:rPr>
        <w:t xml:space="preserve">نةً على المشهد الثقافي </w:t>
      </w:r>
      <w:r>
        <w:rPr>
          <w:rFonts w:ascii="Simplified Arabic" w:hAnsi="Simplified Arabic" w:cs="Simplified Arabic" w:hint="cs"/>
          <w:color w:val="0F1115"/>
          <w:sz w:val="32"/>
          <w:szCs w:val="32"/>
          <w:shd w:val="clear" w:color="auto" w:fill="FFFFFF"/>
          <w:rtl/>
        </w:rPr>
        <w:t>في الفترة الأخيرة</w:t>
      </w:r>
      <w:r w:rsidRPr="005E6829">
        <w:rPr>
          <w:rFonts w:ascii="Simplified Arabic" w:hAnsi="Simplified Arabic" w:cs="Simplified Arabic"/>
          <w:color w:val="0F1115"/>
          <w:sz w:val="32"/>
          <w:szCs w:val="32"/>
          <w:shd w:val="clear" w:color="auto" w:fill="FFFFFF"/>
          <w:rtl/>
        </w:rPr>
        <w:t xml:space="preserve"> وربما أكثرها قدرة على تمثيل تعقيدات الوجود الإنساني وتشابكات المجتمع</w:t>
      </w:r>
      <w:r>
        <w:rPr>
          <w:rFonts w:ascii="Simplified Arabic" w:hAnsi="Simplified Arabic" w:cs="Simplified Arabic" w:hint="cs"/>
          <w:color w:val="0F1115"/>
          <w:sz w:val="32"/>
          <w:szCs w:val="32"/>
          <w:shd w:val="clear" w:color="auto" w:fill="FFFFFF"/>
          <w:rtl/>
        </w:rPr>
        <w:t xml:space="preserve"> لأنها لا تقتصر على </w:t>
      </w:r>
      <w:r>
        <w:rPr>
          <w:rFonts w:ascii="Simplified Arabic" w:hAnsi="Simplified Arabic" w:cs="Simplified Arabic"/>
          <w:color w:val="0F1115"/>
          <w:sz w:val="32"/>
          <w:szCs w:val="32"/>
          <w:shd w:val="clear" w:color="auto" w:fill="FFFFFF"/>
          <w:rtl/>
        </w:rPr>
        <w:t xml:space="preserve">سردًا </w:t>
      </w:r>
      <w:r w:rsidRPr="005E6829">
        <w:rPr>
          <w:rFonts w:ascii="Simplified Arabic" w:hAnsi="Simplified Arabic" w:cs="Simplified Arabic"/>
          <w:color w:val="0F1115"/>
          <w:sz w:val="32"/>
          <w:szCs w:val="32"/>
          <w:shd w:val="clear" w:color="auto" w:fill="FFFFFF"/>
          <w:rtl/>
        </w:rPr>
        <w:t xml:space="preserve">أحداث فحسب، بل </w:t>
      </w:r>
      <w:r>
        <w:rPr>
          <w:rFonts w:ascii="Simplified Arabic" w:hAnsi="Simplified Arabic" w:cs="Simplified Arabic" w:hint="cs"/>
          <w:color w:val="0F1115"/>
          <w:sz w:val="32"/>
          <w:szCs w:val="32"/>
          <w:shd w:val="clear" w:color="auto" w:fill="FFFFFF"/>
          <w:rtl/>
        </w:rPr>
        <w:t>تتعدى ذلك لتشكل</w:t>
      </w:r>
      <w:r w:rsidRPr="005E6829">
        <w:rPr>
          <w:rFonts w:ascii="Simplified Arabic" w:hAnsi="Simplified Arabic" w:cs="Simplified Arabic"/>
          <w:color w:val="0F1115"/>
          <w:sz w:val="32"/>
          <w:szCs w:val="32"/>
          <w:shd w:val="clear" w:color="auto" w:fill="FFFFFF"/>
          <w:rtl/>
        </w:rPr>
        <w:t xml:space="preserve"> نسيج</w:t>
      </w:r>
      <w:r>
        <w:rPr>
          <w:rFonts w:ascii="Simplified Arabic" w:hAnsi="Simplified Arabic" w:cs="Simplified Arabic" w:hint="cs"/>
          <w:color w:val="0F1115"/>
          <w:sz w:val="32"/>
          <w:szCs w:val="32"/>
          <w:shd w:val="clear" w:color="auto" w:fill="FFFFFF"/>
          <w:rtl/>
        </w:rPr>
        <w:t>ا</w:t>
      </w:r>
      <w:r w:rsidRPr="005E6829">
        <w:rPr>
          <w:rFonts w:ascii="Simplified Arabic" w:hAnsi="Simplified Arabic" w:cs="Simplified Arabic"/>
          <w:color w:val="0F1115"/>
          <w:sz w:val="32"/>
          <w:szCs w:val="32"/>
          <w:shd w:val="clear" w:color="auto" w:fill="FFFFFF"/>
          <w:rtl/>
        </w:rPr>
        <w:t xml:space="preserve"> معقد</w:t>
      </w:r>
      <w:r>
        <w:rPr>
          <w:rFonts w:ascii="Simplified Arabic" w:hAnsi="Simplified Arabic" w:cs="Simplified Arabic" w:hint="cs"/>
          <w:color w:val="0F1115"/>
          <w:sz w:val="32"/>
          <w:szCs w:val="32"/>
          <w:shd w:val="clear" w:color="auto" w:fill="FFFFFF"/>
          <w:rtl/>
        </w:rPr>
        <w:t>ا من رؤية الكاتب</w:t>
      </w:r>
      <w:r>
        <w:rPr>
          <w:rFonts w:ascii="Simplified Arabic" w:hAnsi="Simplified Arabic" w:cs="Simplified Arabic"/>
          <w:color w:val="0F1115"/>
          <w:sz w:val="32"/>
          <w:szCs w:val="32"/>
          <w:shd w:val="clear" w:color="auto" w:fill="FFFFFF"/>
          <w:rtl/>
        </w:rPr>
        <w:t xml:space="preserve"> </w:t>
      </w:r>
      <w:r>
        <w:rPr>
          <w:rFonts w:ascii="Simplified Arabic" w:hAnsi="Simplified Arabic" w:cs="Simplified Arabic" w:hint="cs"/>
          <w:color w:val="0F1115"/>
          <w:sz w:val="32"/>
          <w:szCs w:val="32"/>
          <w:shd w:val="clear" w:color="auto" w:fill="FFFFFF"/>
          <w:rtl/>
        </w:rPr>
        <w:t xml:space="preserve">الخيالية والإيديولوجية إضافة إلى المضامين التي تمتحها من </w:t>
      </w:r>
      <w:r w:rsidRPr="005E6829">
        <w:rPr>
          <w:rFonts w:ascii="Simplified Arabic" w:hAnsi="Simplified Arabic" w:cs="Simplified Arabic"/>
          <w:color w:val="0F1115"/>
          <w:sz w:val="32"/>
          <w:szCs w:val="32"/>
          <w:shd w:val="clear" w:color="auto" w:fill="FFFFFF"/>
          <w:rtl/>
        </w:rPr>
        <w:t xml:space="preserve">الفلسفة، </w:t>
      </w:r>
      <w:r>
        <w:rPr>
          <w:rFonts w:ascii="Simplified Arabic" w:hAnsi="Simplified Arabic" w:cs="Simplified Arabic" w:hint="cs"/>
          <w:color w:val="0F1115"/>
          <w:sz w:val="32"/>
          <w:szCs w:val="32"/>
          <w:shd w:val="clear" w:color="auto" w:fill="FFFFFF"/>
          <w:rtl/>
        </w:rPr>
        <w:t xml:space="preserve">وعلم </w:t>
      </w:r>
      <w:r w:rsidRPr="005E6829">
        <w:rPr>
          <w:rFonts w:ascii="Simplified Arabic" w:hAnsi="Simplified Arabic" w:cs="Simplified Arabic"/>
          <w:color w:val="0F1115"/>
          <w:sz w:val="32"/>
          <w:szCs w:val="32"/>
          <w:shd w:val="clear" w:color="auto" w:fill="FFFFFF"/>
          <w:rtl/>
        </w:rPr>
        <w:t>النفس، التاريخ، و</w:t>
      </w:r>
      <w:r>
        <w:rPr>
          <w:rFonts w:ascii="Simplified Arabic" w:hAnsi="Simplified Arabic" w:cs="Simplified Arabic" w:hint="cs"/>
          <w:color w:val="0F1115"/>
          <w:sz w:val="32"/>
          <w:szCs w:val="32"/>
          <w:shd w:val="clear" w:color="auto" w:fill="FFFFFF"/>
          <w:rtl/>
        </w:rPr>
        <w:t xml:space="preserve">علم </w:t>
      </w:r>
      <w:r w:rsidRPr="005E6829">
        <w:rPr>
          <w:rFonts w:ascii="Simplified Arabic" w:hAnsi="Simplified Arabic" w:cs="Simplified Arabic"/>
          <w:color w:val="0F1115"/>
          <w:sz w:val="32"/>
          <w:szCs w:val="32"/>
          <w:shd w:val="clear" w:color="auto" w:fill="FFFFFF"/>
          <w:rtl/>
        </w:rPr>
        <w:t>الاجتماع</w:t>
      </w:r>
      <w:r>
        <w:rPr>
          <w:rFonts w:ascii="Simplified Arabic" w:hAnsi="Simplified Arabic" w:cs="Simplified Arabic" w:hint="cs"/>
          <w:color w:val="0F1115"/>
          <w:sz w:val="32"/>
          <w:szCs w:val="32"/>
          <w:shd w:val="clear" w:color="auto" w:fill="FFFFFF"/>
          <w:rtl/>
        </w:rPr>
        <w:t xml:space="preserve"> وغيرها من الفروع المعرفية التي تتدخل في بناء العمل الروائي.</w:t>
      </w:r>
    </w:p>
    <w:p w14:paraId="546E85F8" w14:textId="77777777" w:rsidR="00CA6AFE" w:rsidRDefault="00CA6AFE" w:rsidP="00CA6AFE">
      <w:pPr>
        <w:jc w:val="mediumKashida"/>
        <w:rPr>
          <w:rFonts w:ascii="Simplified Arabic" w:hAnsi="Simplified Arabic" w:cs="Simplified Arabic"/>
          <w:b/>
          <w:bCs/>
          <w:sz w:val="32"/>
          <w:szCs w:val="32"/>
          <w:rtl/>
          <w:lang w:val="en-GB"/>
        </w:rPr>
      </w:pPr>
      <w:r>
        <w:rPr>
          <w:rFonts w:ascii="Simplified Arabic" w:hAnsi="Simplified Arabic" w:cs="Simplified Arabic" w:hint="cs"/>
          <w:b/>
          <w:bCs/>
          <w:sz w:val="32"/>
          <w:szCs w:val="32"/>
          <w:rtl/>
          <w:lang w:val="en-GB"/>
        </w:rPr>
        <w:t>مفهوم الرواية</w:t>
      </w:r>
    </w:p>
    <w:p w14:paraId="2F164D37" w14:textId="77777777" w:rsidR="00CA6AFE" w:rsidRDefault="00CA6AFE" w:rsidP="00CA6AF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rPr>
        <w:t xml:space="preserve">تعد </w:t>
      </w:r>
      <w:r w:rsidRPr="005E6829">
        <w:rPr>
          <w:rFonts w:ascii="Simplified Arabic" w:hAnsi="Simplified Arabic" w:cs="Simplified Arabic"/>
          <w:sz w:val="32"/>
          <w:szCs w:val="32"/>
          <w:rtl/>
        </w:rPr>
        <w:t xml:space="preserve">الرواية في تعريفها </w:t>
      </w:r>
      <w:r w:rsidRPr="00850A4E">
        <w:rPr>
          <w:rFonts w:ascii="Simplified Arabic" w:hAnsi="Simplified Arabic" w:cs="Simplified Arabic"/>
          <w:sz w:val="32"/>
          <w:szCs w:val="32"/>
          <w:rtl/>
        </w:rPr>
        <w:t>الأكاديمي</w:t>
      </w:r>
      <w:r>
        <w:rPr>
          <w:rFonts w:ascii="Simplified Arabic" w:hAnsi="Simplified Arabic" w:cs="Simplified Arabic" w:hint="cs"/>
          <w:sz w:val="32"/>
          <w:szCs w:val="32"/>
          <w:rtl/>
        </w:rPr>
        <w:t xml:space="preserve"> المقترن بالدراسات السردية بأنها</w:t>
      </w:r>
      <w:r w:rsidRPr="00850A4E">
        <w:rPr>
          <w:rFonts w:ascii="Simplified Arabic" w:hAnsi="Simplified Arabic" w:cs="Simplified Arabic" w:hint="cs"/>
          <w:sz w:val="32"/>
          <w:szCs w:val="32"/>
          <w:rtl/>
        </w:rPr>
        <w:t xml:space="preserve"> </w:t>
      </w:r>
      <w:proofErr w:type="gramStart"/>
      <w:r w:rsidRPr="00850A4E">
        <w:rPr>
          <w:rFonts w:ascii="Simplified Arabic" w:hAnsi="Simplified Arabic" w:cs="Simplified Arabic"/>
          <w:b/>
          <w:bCs/>
          <w:sz w:val="32"/>
          <w:szCs w:val="32"/>
          <w:rtl/>
        </w:rPr>
        <w:t>«</w:t>
      </w:r>
      <w:r w:rsidRPr="00850A4E">
        <w:rPr>
          <w:rFonts w:ascii="Simplified Arabic" w:hAnsi="Simplified Arabic" w:cs="Simplified Arabic"/>
          <w:b/>
          <w:bCs/>
          <w:sz w:val="32"/>
          <w:szCs w:val="32"/>
        </w:rPr>
        <w:t> </w:t>
      </w:r>
      <w:r w:rsidRPr="00850A4E">
        <w:rPr>
          <w:rStyle w:val="lev"/>
          <w:rFonts w:ascii="Simplified Arabic" w:hAnsi="Simplified Arabic" w:cs="Simplified Arabic"/>
          <w:b w:val="0"/>
          <w:bCs w:val="0"/>
          <w:sz w:val="32"/>
          <w:szCs w:val="32"/>
          <w:rtl/>
        </w:rPr>
        <w:t>قصة</w:t>
      </w:r>
      <w:proofErr w:type="gramEnd"/>
      <w:r w:rsidRPr="00850A4E">
        <w:rPr>
          <w:rStyle w:val="lev"/>
          <w:rFonts w:ascii="Simplified Arabic" w:hAnsi="Simplified Arabic" w:cs="Simplified Arabic"/>
          <w:b w:val="0"/>
          <w:bCs w:val="0"/>
          <w:sz w:val="32"/>
          <w:szCs w:val="32"/>
          <w:rtl/>
        </w:rPr>
        <w:t xml:space="preserve"> نثرية طويلة تخيلية، تقدم شخصيات وأحداثًا في سياق زمني ومكاني محدد، تعكس واقعًا إنسانيًا من خلال بنية سردية متطورة تقوم على الصراع والتطور والتحول</w:t>
      </w:r>
      <w:r>
        <w:rPr>
          <w:rStyle w:val="lev"/>
          <w:rFonts w:ascii="Simplified Arabic" w:hAnsi="Simplified Arabic" w:cs="Simplified Arabic"/>
          <w:b w:val="0"/>
          <w:bCs w:val="0"/>
          <w:sz w:val="32"/>
          <w:szCs w:val="32"/>
        </w:rPr>
        <w:t>«</w:t>
      </w:r>
      <w:r>
        <w:rPr>
          <w:rStyle w:val="lev"/>
          <w:rFonts w:ascii="Simplified Arabic" w:hAnsi="Simplified Arabic" w:cs="Simplified Arabic" w:hint="cs"/>
          <w:b w:val="0"/>
          <w:bCs w:val="0"/>
          <w:sz w:val="32"/>
          <w:szCs w:val="32"/>
          <w:rtl/>
        </w:rPr>
        <w:t xml:space="preserve">. حيث </w:t>
      </w:r>
      <w:r>
        <w:rPr>
          <w:rFonts w:ascii="Simplified Arabic" w:hAnsi="Simplified Arabic" w:cs="Simplified Arabic" w:hint="cs"/>
          <w:sz w:val="32"/>
          <w:szCs w:val="32"/>
          <w:rtl/>
          <w:lang w:val="en-GB" w:bidi="ar-TN"/>
        </w:rPr>
        <w:t>يرى "عبد المالك مرتاض"</w:t>
      </w:r>
      <w:r w:rsidRPr="005E6829">
        <w:rPr>
          <w:rFonts w:ascii="Simplified Arabic" w:hAnsi="Simplified Arabic" w:cs="Simplified Arabic" w:hint="cs"/>
          <w:sz w:val="32"/>
          <w:szCs w:val="32"/>
          <w:rtl/>
          <w:lang w:val="en-GB" w:bidi="ar-TN"/>
        </w:rPr>
        <w:t xml:space="preserve"> في كتابه "نظرية الرواية" أن الرواية جنس أدبي </w:t>
      </w:r>
      <w:r w:rsidRPr="005E6829">
        <w:rPr>
          <w:rFonts w:ascii="Simplified Arabic" w:hAnsi="Simplified Arabic" w:cs="Simplified Arabic"/>
          <w:sz w:val="32"/>
          <w:szCs w:val="32"/>
          <w:rtl/>
          <w:lang w:val="en-GB" w:bidi="ar-TN"/>
        </w:rPr>
        <w:t>«</w:t>
      </w:r>
      <w:r w:rsidRPr="005E6829">
        <w:rPr>
          <w:rFonts w:ascii="Simplified Arabic" w:hAnsi="Simplified Arabic" w:cs="Simplified Arabic" w:hint="cs"/>
          <w:sz w:val="32"/>
          <w:szCs w:val="32"/>
          <w:rtl/>
          <w:lang w:val="en-GB" w:bidi="ar-TN"/>
        </w:rPr>
        <w:t>وهكذا يمكننا اعتبار الرواية في أصل مفهومها القاعدي جنسا أدبيا بينما الرواية التاريخية أو البوليسية هي نوع أدبي</w:t>
      </w:r>
      <w:r>
        <w:rPr>
          <w:rFonts w:ascii="Simplified Arabic" w:hAnsi="Simplified Arabic" w:cs="Simplified Arabic" w:hint="cs"/>
          <w:sz w:val="32"/>
          <w:szCs w:val="32"/>
          <w:rtl/>
          <w:lang w:val="en-GB" w:bidi="ar-TN"/>
        </w:rPr>
        <w:t xml:space="preserve"> </w:t>
      </w:r>
      <w:r w:rsidRPr="005E6829">
        <w:rPr>
          <w:rFonts w:ascii="Simplified Arabic" w:hAnsi="Simplified Arabic" w:cs="Simplified Arabic" w:hint="cs"/>
          <w:sz w:val="32"/>
          <w:szCs w:val="32"/>
          <w:rtl/>
          <w:lang w:val="en-GB" w:bidi="ar-TN"/>
        </w:rPr>
        <w:t>ينتمي إلى جنس الرواية العام، كما هو حال جنس الشعر، بحيث يصبح الهجاء والمديح والرثاء والوصف والغزل أنواعا شعرية</w:t>
      </w:r>
      <w:r w:rsidRPr="005E6829">
        <w:rPr>
          <w:rFonts w:ascii="Simplified Arabic" w:hAnsi="Simplified Arabic" w:cs="Simplified Arabic"/>
          <w:sz w:val="32"/>
          <w:szCs w:val="32"/>
          <w:rtl/>
          <w:lang w:val="en-GB" w:bidi="ar-TN"/>
        </w:rPr>
        <w:t>»</w:t>
      </w:r>
      <w:r w:rsidRPr="005E6829">
        <w:rPr>
          <w:rStyle w:val="Appelnotedebasdep"/>
          <w:rFonts w:ascii="Simplified Arabic" w:hAnsi="Simplified Arabic" w:cs="Simplified Arabic"/>
          <w:sz w:val="32"/>
          <w:szCs w:val="32"/>
          <w:rtl/>
          <w:lang w:val="en-GB" w:bidi="ar-TN"/>
        </w:rPr>
        <w:footnoteReference w:id="1"/>
      </w:r>
      <w:r>
        <w:rPr>
          <w:rFonts w:ascii="Simplified Arabic" w:hAnsi="Simplified Arabic" w:cs="Simplified Arabic" w:hint="cs"/>
          <w:sz w:val="32"/>
          <w:szCs w:val="32"/>
          <w:rtl/>
          <w:lang w:val="en-GB" w:bidi="ar-TN"/>
        </w:rPr>
        <w:t xml:space="preserve">، </w:t>
      </w:r>
      <w:r>
        <w:rPr>
          <w:rStyle w:val="lev"/>
          <w:rFonts w:ascii="Simplified Arabic" w:hAnsi="Simplified Arabic" w:cs="Simplified Arabic" w:hint="cs"/>
          <w:b w:val="0"/>
          <w:bCs w:val="0"/>
          <w:sz w:val="32"/>
          <w:szCs w:val="32"/>
          <w:rtl/>
        </w:rPr>
        <w:t>غير أن عناك من يرى أنه لا يمكن إطلاق تسمية الجنس عليها لأنها لا تتعدى نطاق النوع مثلما نقف على ذلك مع "</w:t>
      </w:r>
      <w:r w:rsidRPr="005E6829">
        <w:rPr>
          <w:rFonts w:ascii="Simplified Arabic" w:hAnsi="Simplified Arabic" w:cs="Simplified Arabic" w:hint="cs"/>
          <w:sz w:val="32"/>
          <w:szCs w:val="32"/>
          <w:rtl/>
          <w:lang w:val="en-GB" w:bidi="ar-TN"/>
        </w:rPr>
        <w:t xml:space="preserve">مها حسن القصراوي" </w:t>
      </w:r>
      <w:r>
        <w:rPr>
          <w:rFonts w:ascii="Simplified Arabic" w:hAnsi="Simplified Arabic" w:cs="Simplified Arabic" w:hint="cs"/>
          <w:sz w:val="32"/>
          <w:szCs w:val="32"/>
          <w:rtl/>
          <w:lang w:val="en-GB" w:bidi="ar-TN"/>
        </w:rPr>
        <w:t xml:space="preserve">حيث قاربت الرواية </w:t>
      </w:r>
      <w:r w:rsidRPr="005E6829">
        <w:rPr>
          <w:rFonts w:ascii="Simplified Arabic" w:hAnsi="Simplified Arabic" w:cs="Simplified Arabic" w:hint="cs"/>
          <w:sz w:val="32"/>
          <w:szCs w:val="32"/>
          <w:rtl/>
          <w:lang w:val="en-GB" w:bidi="ar-TN"/>
        </w:rPr>
        <w:t xml:space="preserve">بوصفها </w:t>
      </w:r>
      <w:r w:rsidRPr="005E6829">
        <w:rPr>
          <w:rFonts w:ascii="Simplified Arabic" w:hAnsi="Simplified Arabic" w:cs="Simplified Arabic"/>
          <w:sz w:val="32"/>
          <w:szCs w:val="32"/>
          <w:rtl/>
          <w:lang w:val="en-GB" w:bidi="ar-TN"/>
        </w:rPr>
        <w:t>«</w:t>
      </w:r>
      <w:r w:rsidRPr="005E6829">
        <w:rPr>
          <w:rFonts w:ascii="Simplified Arabic" w:hAnsi="Simplified Arabic" w:cs="Simplified Arabic" w:hint="cs"/>
          <w:sz w:val="32"/>
          <w:szCs w:val="32"/>
          <w:rtl/>
          <w:lang w:val="en-GB" w:bidi="ar-TN"/>
        </w:rPr>
        <w:t>نوعا وليست جنسا، وذلك لأن الأدب بصفة عامة يحتوي على جنسين اثنين هما الشعر والنثر، والميزة الغالبة على الرواية هي النثر، فهي نوع ينتمي إلى جنس النثر العام</w:t>
      </w:r>
      <w:r w:rsidRPr="005E6829">
        <w:rPr>
          <w:rFonts w:ascii="Simplified Arabic" w:hAnsi="Simplified Arabic" w:cs="Simplified Arabic"/>
          <w:sz w:val="32"/>
          <w:szCs w:val="32"/>
          <w:rtl/>
          <w:lang w:val="en-GB" w:bidi="ar-TN"/>
        </w:rPr>
        <w:t>»</w:t>
      </w:r>
      <w:r w:rsidRPr="005E6829">
        <w:rPr>
          <w:rStyle w:val="Appelnotedebasdep"/>
          <w:rFonts w:ascii="Simplified Arabic" w:hAnsi="Simplified Arabic" w:cs="Simplified Arabic"/>
          <w:sz w:val="32"/>
          <w:szCs w:val="32"/>
          <w:rtl/>
          <w:lang w:val="en-GB" w:bidi="ar-TN"/>
        </w:rPr>
        <w:footnoteReference w:id="2"/>
      </w:r>
    </w:p>
    <w:p w14:paraId="059D13D2" w14:textId="77777777" w:rsidR="00CA6AFE" w:rsidRPr="00557B5B" w:rsidRDefault="00CA6AFE" w:rsidP="00CA6AFE">
      <w:pPr>
        <w:jc w:val="mediumKashida"/>
        <w:rPr>
          <w:rFonts w:ascii="Simplified Arabic" w:hAnsi="Simplified Arabic" w:cs="Simplified Arabic"/>
          <w:b/>
          <w:bCs/>
          <w:sz w:val="32"/>
          <w:szCs w:val="32"/>
        </w:rPr>
      </w:pPr>
      <w:r w:rsidRPr="00557B5B">
        <w:rPr>
          <w:rFonts w:ascii="Simplified Arabic" w:hAnsi="Simplified Arabic" w:cs="Simplified Arabic" w:hint="cs"/>
          <w:b/>
          <w:bCs/>
          <w:sz w:val="32"/>
          <w:szCs w:val="32"/>
          <w:rtl/>
        </w:rPr>
        <w:lastRenderedPageBreak/>
        <w:t xml:space="preserve">عناصر تشكيل الرواية </w:t>
      </w:r>
    </w:p>
    <w:p w14:paraId="760E14C9" w14:textId="77777777" w:rsidR="00CA6AFE" w:rsidRPr="00557B5B" w:rsidRDefault="00CA6AFE" w:rsidP="00CA6AFE">
      <w:pPr>
        <w:pStyle w:val="ds-markdown-paragraph"/>
        <w:bidi/>
        <w:spacing w:before="240" w:beforeAutospacing="0"/>
        <w:jc w:val="mediumKashida"/>
        <w:rPr>
          <w:rFonts w:ascii="Simplified Arabic" w:hAnsi="Simplified Arabic" w:cs="Simplified Arabic"/>
          <w:b/>
          <w:bCs/>
          <w:sz w:val="32"/>
          <w:szCs w:val="32"/>
          <w:rtl/>
        </w:rPr>
      </w:pPr>
      <w:r w:rsidRPr="005E6829">
        <w:rPr>
          <w:rFonts w:ascii="Simplified Arabic" w:hAnsi="Simplified Arabic" w:cs="Simplified Arabic"/>
          <w:sz w:val="32"/>
          <w:szCs w:val="32"/>
          <w:rtl/>
        </w:rPr>
        <w:t>شَكَّلَت الرواية بصورتها الحديثة نتاجًا لتطور تاريخي طويل، حيث تعود جذورها الأولى إلى الأشكال السردية القديمة</w:t>
      </w:r>
      <w:r>
        <w:rPr>
          <w:rFonts w:ascii="Simplified Arabic" w:hAnsi="Simplified Arabic" w:cs="Simplified Arabic"/>
          <w:sz w:val="32"/>
          <w:szCs w:val="32"/>
          <w:rtl/>
        </w:rPr>
        <w:t xml:space="preserve"> التي عرفتها الحضارات الإنسانية</w:t>
      </w:r>
      <w:r>
        <w:rPr>
          <w:rFonts w:ascii="Simplified Arabic" w:hAnsi="Simplified Arabic" w:cs="Simplified Arabic" w:hint="cs"/>
          <w:sz w:val="32"/>
          <w:szCs w:val="32"/>
          <w:rtl/>
        </w:rPr>
        <w:t xml:space="preserve"> مثل الملاحم والحكايات الشعبية التي تطورت فيما بعد لتنطلق بدايتها مع "الدون كيشوت دي</w:t>
      </w:r>
      <w:r>
        <w:rPr>
          <w:rFonts w:ascii="Simplified Arabic" w:hAnsi="Simplified Arabic" w:cs="Simplified Arabic" w:hint="cs"/>
          <w:b/>
          <w:bCs/>
          <w:sz w:val="32"/>
          <w:szCs w:val="32"/>
          <w:rtl/>
        </w:rPr>
        <w:t xml:space="preserve"> </w:t>
      </w:r>
      <w:proofErr w:type="spellStart"/>
      <w:r>
        <w:rPr>
          <w:rFonts w:ascii="Simplified Arabic" w:hAnsi="Simplified Arabic" w:cs="Simplified Arabic" w:hint="cs"/>
          <w:sz w:val="32"/>
          <w:szCs w:val="32"/>
          <w:rtl/>
        </w:rPr>
        <w:t>لامانشا</w:t>
      </w:r>
      <w:proofErr w:type="spellEnd"/>
      <w:r>
        <w:rPr>
          <w:rFonts w:ascii="Simplified Arabic" w:hAnsi="Simplified Arabic" w:cs="Simplified Arabic" w:hint="cs"/>
          <w:sz w:val="32"/>
          <w:szCs w:val="32"/>
          <w:rtl/>
        </w:rPr>
        <w:t xml:space="preserve">" لميغال دي </w:t>
      </w:r>
      <w:proofErr w:type="spellStart"/>
      <w:r>
        <w:rPr>
          <w:rFonts w:ascii="Simplified Arabic" w:hAnsi="Simplified Arabic" w:cs="Simplified Arabic" w:hint="cs"/>
          <w:sz w:val="32"/>
          <w:szCs w:val="32"/>
          <w:rtl/>
        </w:rPr>
        <w:t>سيرفانتيس</w:t>
      </w:r>
      <w:proofErr w:type="spellEnd"/>
      <w:r>
        <w:rPr>
          <w:rFonts w:ascii="Simplified Arabic" w:hAnsi="Simplified Arabic" w:cs="Simplified Arabic" w:hint="cs"/>
          <w:sz w:val="32"/>
          <w:szCs w:val="32"/>
          <w:rtl/>
        </w:rPr>
        <w:t xml:space="preserve">، وعموما </w:t>
      </w:r>
      <w:r w:rsidRPr="005E6829">
        <w:rPr>
          <w:rFonts w:ascii="Simplified Arabic" w:hAnsi="Simplified Arabic" w:cs="Simplified Arabic"/>
          <w:sz w:val="32"/>
          <w:szCs w:val="32"/>
          <w:rtl/>
        </w:rPr>
        <w:t>تعد الرواية جنسًا أدبيًا نثريًا يتميز بمجموعة من </w:t>
      </w:r>
      <w:r w:rsidRPr="00644F4E">
        <w:rPr>
          <w:rStyle w:val="lev"/>
          <w:rFonts w:ascii="Simplified Arabic" w:hAnsi="Simplified Arabic" w:cs="Simplified Arabic"/>
          <w:b w:val="0"/>
          <w:bCs w:val="0"/>
          <w:sz w:val="32"/>
          <w:szCs w:val="32"/>
          <w:rtl/>
        </w:rPr>
        <w:t>الخصائص والمكونات</w:t>
      </w:r>
      <w:r w:rsidRPr="005E6829">
        <w:rPr>
          <w:rStyle w:val="lev"/>
          <w:rFonts w:ascii="Simplified Arabic" w:hAnsi="Simplified Arabic" w:cs="Simplified Arabic"/>
          <w:sz w:val="32"/>
          <w:szCs w:val="32"/>
          <w:rtl/>
        </w:rPr>
        <w:t xml:space="preserve"> </w:t>
      </w:r>
      <w:r w:rsidRPr="00644F4E">
        <w:rPr>
          <w:rStyle w:val="lev"/>
          <w:rFonts w:ascii="Simplified Arabic" w:hAnsi="Simplified Arabic" w:cs="Simplified Arabic"/>
          <w:b w:val="0"/>
          <w:bCs w:val="0"/>
          <w:sz w:val="32"/>
          <w:szCs w:val="32"/>
          <w:rtl/>
        </w:rPr>
        <w:t>السردية</w:t>
      </w:r>
      <w:r w:rsidRPr="00644F4E">
        <w:rPr>
          <w:rFonts w:ascii="Simplified Arabic" w:hAnsi="Simplified Arabic" w:cs="Simplified Arabic"/>
          <w:b/>
          <w:bCs/>
          <w:sz w:val="32"/>
          <w:szCs w:val="32"/>
          <w:rtl/>
        </w:rPr>
        <w:t> </w:t>
      </w:r>
      <w:r w:rsidRPr="005E6829">
        <w:rPr>
          <w:rFonts w:ascii="Simplified Arabic" w:hAnsi="Simplified Arabic" w:cs="Simplified Arabic"/>
          <w:sz w:val="32"/>
          <w:szCs w:val="32"/>
          <w:rtl/>
        </w:rPr>
        <w:t>التي</w:t>
      </w:r>
      <w:r>
        <w:rPr>
          <w:rFonts w:ascii="Simplified Arabic" w:hAnsi="Simplified Arabic" w:cs="Simplified Arabic" w:hint="cs"/>
          <w:sz w:val="32"/>
          <w:szCs w:val="32"/>
          <w:rtl/>
        </w:rPr>
        <w:t xml:space="preserve"> تصنع خصوصية هذا الجنس وتميزه عن غيره من الأجناس الأدبية الأخرى مثل الشخصية والمكان والزمن والحكي وغيره من العناصر السردية التي يمكن الوقوف عليها:</w:t>
      </w:r>
      <w:r w:rsidRPr="005E6829">
        <w:rPr>
          <w:rFonts w:ascii="Simplified Arabic" w:hAnsi="Simplified Arabic" w:cs="Simplified Arabic"/>
          <w:sz w:val="32"/>
          <w:szCs w:val="32"/>
          <w:rtl/>
        </w:rPr>
        <w:t xml:space="preserve"> </w:t>
      </w:r>
    </w:p>
    <w:p w14:paraId="15405763" w14:textId="77777777" w:rsidR="00CA6AFE" w:rsidRDefault="00CA6AFE" w:rsidP="00CA6AFE">
      <w:pPr>
        <w:pStyle w:val="ds-markdown-paragraph"/>
        <w:bidi/>
        <w:spacing w:before="240" w:beforeAutospacing="0"/>
        <w:jc w:val="mediumKashida"/>
        <w:rPr>
          <w:rFonts w:ascii="Simplified Arabic" w:hAnsi="Simplified Arabic" w:cs="Simplified Arabic"/>
          <w:sz w:val="32"/>
          <w:szCs w:val="32"/>
          <w:rtl/>
        </w:rPr>
      </w:pPr>
      <w:r>
        <w:rPr>
          <w:rFonts w:ascii="Simplified Arabic" w:hAnsi="Simplified Arabic" w:cs="Simplified Arabic" w:hint="cs"/>
          <w:sz w:val="32"/>
          <w:szCs w:val="32"/>
          <w:rtl/>
        </w:rPr>
        <w:t xml:space="preserve">الشخصية: </w:t>
      </w:r>
      <w:r>
        <w:rPr>
          <w:rFonts w:ascii="Simplified Arabic" w:hAnsi="Simplified Arabic" w:cs="Simplified Arabic"/>
          <w:sz w:val="32"/>
          <w:szCs w:val="32"/>
          <w:rtl/>
        </w:rPr>
        <w:t>«</w:t>
      </w:r>
      <w:r>
        <w:rPr>
          <w:rFonts w:ascii="Simplified Arabic" w:hAnsi="Simplified Arabic" w:cs="Simplified Arabic" w:hint="cs"/>
          <w:sz w:val="32"/>
          <w:szCs w:val="32"/>
          <w:rtl/>
        </w:rPr>
        <w:t>هي عصب الحياة في النصوص السردية جميعا كالرواية والقصة وغيرها من السرود الأخرى، ومحور الحركة فيها، وهي التي تقول وتفعل وتفكر، وتقود الرواية خاصة من بدايتها إلى نهايتها، فهي بذلك مدار المعاني الإنسانية ومحور الأفكار العامة، وتعد ركنا مهما من أركان العمل السردي عموما والروائي خصوصا</w:t>
      </w:r>
      <w:r>
        <w:rPr>
          <w:rFonts w:ascii="Simplified Arabic" w:hAnsi="Simplified Arabic" w:cs="Simplified Arabic"/>
          <w:sz w:val="32"/>
          <w:szCs w:val="32"/>
          <w:rtl/>
        </w:rPr>
        <w:t>»</w:t>
      </w:r>
      <w:r>
        <w:rPr>
          <w:rStyle w:val="Appelnotedebasdep"/>
          <w:rFonts w:ascii="Simplified Arabic" w:hAnsi="Simplified Arabic" w:cs="Simplified Arabic"/>
          <w:sz w:val="32"/>
          <w:szCs w:val="32"/>
          <w:rtl/>
        </w:rPr>
        <w:footnoteReference w:id="3"/>
      </w:r>
    </w:p>
    <w:p w14:paraId="606527E3" w14:textId="77777777" w:rsidR="00CA6AFE" w:rsidRPr="00D06F88" w:rsidRDefault="00CA6AFE" w:rsidP="00CA6AFE">
      <w:pPr>
        <w:pStyle w:val="ds-markdown-paragraph"/>
        <w:bidi/>
        <w:spacing w:before="240" w:beforeAutospacing="0"/>
        <w:jc w:val="mediumKashida"/>
        <w:rPr>
          <w:rFonts w:ascii="Simplified Arabic" w:hAnsi="Simplified Arabic" w:cs="Simplified Arabic"/>
          <w:sz w:val="32"/>
          <w:szCs w:val="32"/>
          <w:rtl/>
        </w:rPr>
      </w:pPr>
      <w:r>
        <w:rPr>
          <w:rFonts w:ascii="Simplified Arabic" w:hAnsi="Simplified Arabic" w:cs="Simplified Arabic" w:hint="cs"/>
          <w:sz w:val="32"/>
          <w:szCs w:val="32"/>
          <w:rtl/>
        </w:rPr>
        <w:t xml:space="preserve">التسريد أو الحكي: </w:t>
      </w:r>
      <w:r>
        <w:rPr>
          <w:rFonts w:ascii="Simplified Arabic" w:hAnsi="Simplified Arabic" w:cs="Simplified Arabic"/>
          <w:sz w:val="32"/>
          <w:szCs w:val="32"/>
          <w:rtl/>
        </w:rPr>
        <w:t>«</w:t>
      </w:r>
      <w:r>
        <w:rPr>
          <w:rFonts w:ascii="Simplified Arabic" w:hAnsi="Simplified Arabic" w:cs="Simplified Arabic" w:hint="cs"/>
          <w:sz w:val="32"/>
          <w:szCs w:val="32"/>
          <w:rtl/>
        </w:rPr>
        <w:t>هو الكيفية التي تروى بها القصة عن طريق القناة نفسها أو ما تخضع له من مؤثرات بعضها متعلق بالراوي والمروي له، والبعض الآخر متعلق بالقصة ذاتها</w:t>
      </w:r>
      <w:r>
        <w:rPr>
          <w:rFonts w:ascii="Simplified Arabic" w:hAnsi="Simplified Arabic" w:cs="Simplified Arabic"/>
          <w:sz w:val="32"/>
          <w:szCs w:val="32"/>
          <w:rtl/>
        </w:rPr>
        <w:t>»</w:t>
      </w:r>
      <w:r>
        <w:rPr>
          <w:rStyle w:val="Appelnotedebasdep"/>
          <w:rFonts w:ascii="Simplified Arabic" w:hAnsi="Simplified Arabic" w:cs="Simplified Arabic"/>
          <w:sz w:val="32"/>
          <w:szCs w:val="32"/>
          <w:rtl/>
        </w:rPr>
        <w:footnoteReference w:id="4"/>
      </w:r>
      <w:r>
        <w:rPr>
          <w:rFonts w:ascii="Simplified Arabic" w:hAnsi="Simplified Arabic" w:cs="Simplified Arabic" w:hint="cs"/>
          <w:sz w:val="32"/>
          <w:szCs w:val="32"/>
          <w:rtl/>
        </w:rPr>
        <w:t xml:space="preserve"> حيث تتعد الرواة وتتغير مواقعها بين الرؤية الموازية، من الأمام أو </w:t>
      </w:r>
      <w:r w:rsidRPr="00D06F88">
        <w:rPr>
          <w:rFonts w:ascii="Simplified Arabic" w:hAnsi="Simplified Arabic" w:cs="Simplified Arabic" w:hint="cs"/>
          <w:sz w:val="32"/>
          <w:szCs w:val="32"/>
          <w:rtl/>
        </w:rPr>
        <w:t>من الخلف</w:t>
      </w:r>
    </w:p>
    <w:p w14:paraId="23B80EC7" w14:textId="77777777" w:rsidR="00CA6AFE" w:rsidRPr="00D06F88" w:rsidRDefault="00CA6AFE" w:rsidP="00CA6AFE">
      <w:pPr>
        <w:pStyle w:val="ds-markdown-paragraph"/>
        <w:bidi/>
        <w:spacing w:before="240" w:beforeAutospacing="0"/>
        <w:jc w:val="mediumKashida"/>
        <w:rPr>
          <w:rFonts w:ascii="Simplified Arabic" w:hAnsi="Simplified Arabic" w:cs="Simplified Arabic"/>
          <w:sz w:val="32"/>
          <w:szCs w:val="32"/>
          <w:rtl/>
        </w:rPr>
      </w:pPr>
      <w:r w:rsidRPr="00D06F88">
        <w:rPr>
          <w:rFonts w:ascii="Simplified Arabic" w:hAnsi="Simplified Arabic" w:cs="Simplified Arabic" w:hint="cs"/>
          <w:sz w:val="32"/>
          <w:szCs w:val="32"/>
          <w:rtl/>
        </w:rPr>
        <w:t xml:space="preserve">المكان: هو أحد العناصر الرئيسة التي يتشكل من خلالها فعل الحكي لأنها الفضاء أو الإطار الذي يحتضن جملة الأحداث التي تتضمنها الرواية، لذلك يمثل </w:t>
      </w:r>
      <w:r w:rsidRPr="00D06F88">
        <w:rPr>
          <w:rFonts w:ascii="Simplified Arabic" w:hAnsi="Simplified Arabic" w:cs="Simplified Arabic"/>
          <w:sz w:val="32"/>
          <w:szCs w:val="32"/>
          <w:rtl/>
        </w:rPr>
        <w:t>«</w:t>
      </w:r>
      <w:r w:rsidRPr="00D06F88">
        <w:rPr>
          <w:rFonts w:ascii="Simplified Arabic" w:hAnsi="Simplified Arabic" w:cs="Simplified Arabic" w:hint="cs"/>
          <w:sz w:val="32"/>
          <w:szCs w:val="32"/>
          <w:rtl/>
        </w:rPr>
        <w:t xml:space="preserve">مكونا محوريا في بنية السرد بحيث لا يمكن تصور حكاية بدون مكان، ولا وجود </w:t>
      </w:r>
      <w:r w:rsidRPr="00D06F88">
        <w:rPr>
          <w:rFonts w:ascii="Simplified Arabic" w:hAnsi="Simplified Arabic" w:cs="Simplified Arabic" w:hint="cs"/>
          <w:sz w:val="32"/>
          <w:szCs w:val="32"/>
          <w:rtl/>
        </w:rPr>
        <w:lastRenderedPageBreak/>
        <w:t>لأحداث خارج المكان، ذلك أن كل حدث يأخذ وجوده في مكان محدد وزمان معين</w:t>
      </w:r>
      <w:r w:rsidRPr="00D06F88">
        <w:rPr>
          <w:rFonts w:ascii="Simplified Arabic" w:hAnsi="Simplified Arabic" w:cs="Simplified Arabic"/>
          <w:sz w:val="32"/>
          <w:szCs w:val="32"/>
          <w:rtl/>
        </w:rPr>
        <w:t>»</w:t>
      </w:r>
      <w:r w:rsidRPr="00D06F88">
        <w:rPr>
          <w:rStyle w:val="Appelnotedebasdep"/>
          <w:rFonts w:ascii="Simplified Arabic" w:hAnsi="Simplified Arabic" w:cs="Simplified Arabic"/>
          <w:sz w:val="32"/>
          <w:szCs w:val="32"/>
          <w:rtl/>
        </w:rPr>
        <w:footnoteReference w:id="5"/>
      </w:r>
    </w:p>
    <w:p w14:paraId="671B9D91" w14:textId="77777777" w:rsidR="00CA6AFE" w:rsidRPr="00BE7DE0" w:rsidRDefault="00CA6AFE" w:rsidP="00CA6AFE">
      <w:pPr>
        <w:pStyle w:val="ds-markdown-paragraph"/>
        <w:bidi/>
        <w:spacing w:before="240" w:beforeAutospacing="0"/>
        <w:jc w:val="mediumKashida"/>
        <w:rPr>
          <w:rFonts w:ascii="Simplified Arabic" w:hAnsi="Simplified Arabic" w:cs="Simplified Arabic"/>
          <w:sz w:val="32"/>
          <w:szCs w:val="32"/>
          <w:rtl/>
        </w:rPr>
      </w:pPr>
      <w:r w:rsidRPr="00D06F88">
        <w:rPr>
          <w:rFonts w:ascii="Simplified Arabic" w:hAnsi="Simplified Arabic" w:cs="Simplified Arabic" w:hint="cs"/>
          <w:sz w:val="32"/>
          <w:szCs w:val="32"/>
          <w:rtl/>
        </w:rPr>
        <w:t xml:space="preserve">الزمن: </w:t>
      </w:r>
      <w:r w:rsidRPr="00D06F88">
        <w:rPr>
          <w:rFonts w:ascii="Simplified Arabic" w:hAnsi="Simplified Arabic" w:cs="Simplified Arabic"/>
          <w:sz w:val="32"/>
          <w:szCs w:val="32"/>
          <w:rtl/>
        </w:rPr>
        <w:t>«</w:t>
      </w:r>
      <w:r w:rsidRPr="00D06F88">
        <w:rPr>
          <w:rFonts w:ascii="Simplified Arabic" w:hAnsi="Simplified Arabic" w:cs="Simplified Arabic" w:hint="cs"/>
          <w:sz w:val="32"/>
          <w:szCs w:val="32"/>
          <w:rtl/>
        </w:rPr>
        <w:t xml:space="preserve">أحد المكونات </w:t>
      </w:r>
      <w:proofErr w:type="spellStart"/>
      <w:r w:rsidRPr="00D06F88">
        <w:rPr>
          <w:rFonts w:ascii="Simplified Arabic" w:hAnsi="Simplified Arabic" w:cs="Simplified Arabic" w:hint="cs"/>
          <w:sz w:val="32"/>
          <w:szCs w:val="32"/>
          <w:rtl/>
        </w:rPr>
        <w:t>الحكائية</w:t>
      </w:r>
      <w:proofErr w:type="spellEnd"/>
      <w:r w:rsidRPr="00D06F88">
        <w:rPr>
          <w:rFonts w:ascii="Simplified Arabic" w:hAnsi="Simplified Arabic" w:cs="Simplified Arabic" w:hint="cs"/>
          <w:sz w:val="32"/>
          <w:szCs w:val="32"/>
          <w:rtl/>
        </w:rPr>
        <w:t xml:space="preserve"> التي تشكل بنية النص الروائي، وهو يمثل العنصر </w:t>
      </w:r>
      <w:r w:rsidRPr="00BE7DE0">
        <w:rPr>
          <w:rFonts w:ascii="Simplified Arabic" w:hAnsi="Simplified Arabic" w:cs="Simplified Arabic" w:hint="cs"/>
          <w:sz w:val="32"/>
          <w:szCs w:val="32"/>
          <w:rtl/>
        </w:rPr>
        <w:t xml:space="preserve">الفعال الذي يكمل بقية المكونات </w:t>
      </w:r>
      <w:proofErr w:type="spellStart"/>
      <w:r w:rsidRPr="00BE7DE0">
        <w:rPr>
          <w:rFonts w:ascii="Simplified Arabic" w:hAnsi="Simplified Arabic" w:cs="Simplified Arabic" w:hint="cs"/>
          <w:sz w:val="32"/>
          <w:szCs w:val="32"/>
          <w:rtl/>
        </w:rPr>
        <w:t>الحكائية</w:t>
      </w:r>
      <w:proofErr w:type="spellEnd"/>
      <w:r w:rsidRPr="00BE7DE0">
        <w:rPr>
          <w:rFonts w:ascii="Simplified Arabic" w:hAnsi="Simplified Arabic" w:cs="Simplified Arabic" w:hint="cs"/>
          <w:sz w:val="32"/>
          <w:szCs w:val="32"/>
          <w:rtl/>
        </w:rPr>
        <w:t xml:space="preserve"> ويمنحها طابع المصداقية</w:t>
      </w:r>
      <w:r w:rsidRPr="00BE7DE0">
        <w:rPr>
          <w:rFonts w:ascii="Simplified Arabic" w:hAnsi="Simplified Arabic" w:cs="Simplified Arabic"/>
          <w:sz w:val="32"/>
          <w:szCs w:val="32"/>
          <w:rtl/>
        </w:rPr>
        <w:t>»</w:t>
      </w:r>
      <w:r w:rsidRPr="00BE7DE0">
        <w:rPr>
          <w:rStyle w:val="Appelnotedebasdep"/>
          <w:rFonts w:ascii="Simplified Arabic" w:hAnsi="Simplified Arabic" w:cs="Simplified Arabic"/>
          <w:sz w:val="32"/>
          <w:szCs w:val="32"/>
          <w:rtl/>
        </w:rPr>
        <w:footnoteReference w:id="6"/>
      </w:r>
    </w:p>
    <w:p w14:paraId="2978A323" w14:textId="77777777" w:rsidR="00CA6AFE" w:rsidRPr="00BE7DE0" w:rsidRDefault="00CA6AFE" w:rsidP="00CA6AFE">
      <w:pPr>
        <w:shd w:val="clear" w:color="auto" w:fill="FFFFFF"/>
        <w:spacing w:line="360" w:lineRule="atLeast"/>
        <w:jc w:val="mediumKashida"/>
        <w:rPr>
          <w:rFonts w:ascii="Simplified Arabic" w:eastAsia="Times New Roman" w:hAnsi="Simplified Arabic" w:cs="Simplified Arabic"/>
          <w:b/>
          <w:bCs/>
          <w:kern w:val="0"/>
          <w:sz w:val="32"/>
          <w:szCs w:val="32"/>
          <w:lang w:val="fr-FR" w:eastAsia="fr-FR"/>
          <w14:ligatures w14:val="none"/>
        </w:rPr>
      </w:pPr>
      <w:r w:rsidRPr="00BE7DE0">
        <w:rPr>
          <w:rFonts w:ascii="Simplified Arabic" w:eastAsia="Times New Roman" w:hAnsi="Simplified Arabic" w:cs="Simplified Arabic"/>
          <w:b/>
          <w:bCs/>
          <w:kern w:val="0"/>
          <w:sz w:val="32"/>
          <w:szCs w:val="32"/>
          <w:rtl/>
          <w:lang w:val="fr-FR" w:eastAsia="fr-FR"/>
          <w14:ligatures w14:val="none"/>
        </w:rPr>
        <w:t>أنواع الرواية</w:t>
      </w:r>
    </w:p>
    <w:p w14:paraId="0F6B3651" w14:textId="29E88747" w:rsidR="00AB4054" w:rsidRPr="00CA6AFE" w:rsidRDefault="00CA6AFE" w:rsidP="00CA6AFE">
      <w:pPr>
        <w:shd w:val="clear" w:color="auto" w:fill="FFFFFF"/>
        <w:spacing w:before="100" w:beforeAutospacing="1" w:after="240" w:line="240" w:lineRule="auto"/>
        <w:jc w:val="mediumKashida"/>
        <w:rPr>
          <w:rFonts w:ascii="Simplified Arabic" w:eastAsia="Times New Roman" w:hAnsi="Simplified Arabic" w:cs="Simplified Arabic"/>
          <w:kern w:val="0"/>
          <w:sz w:val="32"/>
          <w:szCs w:val="32"/>
          <w:rtl/>
          <w:lang w:val="fr-FR" w:eastAsia="fr-FR"/>
          <w14:ligatures w14:val="none"/>
        </w:rPr>
      </w:pPr>
      <w:r w:rsidRPr="00BE7DE0">
        <w:rPr>
          <w:rFonts w:ascii="Simplified Arabic" w:eastAsia="Times New Roman" w:hAnsi="Simplified Arabic" w:cs="Simplified Arabic"/>
          <w:kern w:val="0"/>
          <w:sz w:val="32"/>
          <w:szCs w:val="32"/>
          <w:rtl/>
          <w:lang w:val="fr-FR" w:eastAsia="fr-FR"/>
          <w14:ligatures w14:val="none"/>
        </w:rPr>
        <w:t>تُصنف الرواية إلى أنواع متعددة ومتداخلة، تعكس تنوع الرؤى وثراء المضامين التي يتناولها هذا الجنس ويمكن تقسيم هذه الأنواع بناءً على مضمونها الفكري أو تقنياتها السردية أو أهدافها الجمالية</w:t>
      </w:r>
      <w:r w:rsidRPr="00BE7DE0">
        <w:rPr>
          <w:rFonts w:ascii="Simplified Arabic" w:eastAsia="Times New Roman" w:hAnsi="Simplified Arabic" w:cs="Simplified Arabic" w:hint="cs"/>
          <w:kern w:val="0"/>
          <w:sz w:val="32"/>
          <w:szCs w:val="32"/>
          <w:rtl/>
          <w:lang w:val="fr-FR" w:eastAsia="fr-FR"/>
          <w14:ligatures w14:val="none"/>
        </w:rPr>
        <w:t xml:space="preserve">؛ </w:t>
      </w:r>
      <w:r w:rsidRPr="00BE7DE0">
        <w:rPr>
          <w:rFonts w:ascii="Simplified Arabic" w:eastAsia="Times New Roman" w:hAnsi="Simplified Arabic" w:cs="Simplified Arabic"/>
          <w:kern w:val="0"/>
          <w:sz w:val="32"/>
          <w:szCs w:val="32"/>
          <w:rtl/>
          <w:lang w:val="fr-FR" w:eastAsia="fr-FR"/>
          <w14:ligatures w14:val="none"/>
        </w:rPr>
        <w:t xml:space="preserve">فمن حيث المضمون، تبرز الرواية الواقعية التي تسعى إلى تصوير الحياة اليومية والعلاقات الاجتماعية بعين فاحصة، مع التركيز على التفاصيل الدقيقة والسببية المنطقية، كما في أعمال بلزاك ونجيب محفوظ. وتقابلها الرواية الرومانسية التي تؤكد على العواطف الجياشة والخيال الجامح والفردية المتمردة في إطار مثالي يختلف عن قيود الواقع. أما الرواية التاريخية فتمزج بين الوقائع التاريخية المسجلة والخيال الإبداعي، لإحياء شخصيات وأحداث الماضي ضمن رؤية أدبية، مثل روايات جرجي زيدان. وتهتم الرواية النفسية بسبر أغوار الشخصيات وتحليل مشاعرها المتناقضة ودوافعها </w:t>
      </w:r>
      <w:proofErr w:type="spellStart"/>
      <w:r w:rsidRPr="00BE7DE0">
        <w:rPr>
          <w:rFonts w:ascii="Simplified Arabic" w:eastAsia="Times New Roman" w:hAnsi="Simplified Arabic" w:cs="Simplified Arabic"/>
          <w:kern w:val="0"/>
          <w:sz w:val="32"/>
          <w:szCs w:val="32"/>
          <w:rtl/>
          <w:lang w:val="fr-FR" w:eastAsia="fr-FR"/>
          <w14:ligatures w14:val="none"/>
        </w:rPr>
        <w:t>اللاواعية</w:t>
      </w:r>
      <w:proofErr w:type="spellEnd"/>
      <w:r w:rsidRPr="00BE7DE0">
        <w:rPr>
          <w:rFonts w:ascii="Simplified Arabic" w:eastAsia="Times New Roman" w:hAnsi="Simplified Arabic" w:cs="Simplified Arabic"/>
          <w:kern w:val="0"/>
          <w:sz w:val="32"/>
          <w:szCs w:val="32"/>
          <w:rtl/>
          <w:lang w:val="fr-FR" w:eastAsia="fr-FR"/>
          <w14:ligatures w14:val="none"/>
        </w:rPr>
        <w:t>، مستعينة بتقنيات تيار الوعي لاستبطان العالم الداخلي للإنسان</w:t>
      </w:r>
      <w:r w:rsidRPr="00BE7DE0">
        <w:rPr>
          <w:rFonts w:ascii="Simplified Arabic" w:eastAsia="Times New Roman" w:hAnsi="Simplified Arabic" w:cs="Simplified Arabic" w:hint="cs"/>
          <w:kern w:val="0"/>
          <w:sz w:val="32"/>
          <w:szCs w:val="32"/>
          <w:rtl/>
          <w:lang w:val="fr-FR" w:eastAsia="fr-FR"/>
          <w14:ligatures w14:val="none"/>
        </w:rPr>
        <w:t>،</w:t>
      </w:r>
      <w:r w:rsidRPr="00BE7DE0">
        <w:rPr>
          <w:rFonts w:ascii="Simplified Arabic" w:eastAsia="Times New Roman" w:hAnsi="Simplified Arabic" w:cs="Simplified Arabic"/>
          <w:kern w:val="0"/>
          <w:sz w:val="32"/>
          <w:szCs w:val="32"/>
          <w:rtl/>
          <w:lang w:val="fr-FR" w:eastAsia="fr-FR"/>
          <w14:ligatures w14:val="none"/>
        </w:rPr>
        <w:t xml:space="preserve"> في حين تركز الرواية الاجتماعية على القضايا المجتمعية كالفقر والصراع الطبقي والتحولات الثقافية، ساعيةً إلى النقد أو الإصلاح</w:t>
      </w:r>
      <w:r w:rsidRPr="00BE7DE0">
        <w:rPr>
          <w:rFonts w:ascii="Simplified Arabic" w:eastAsia="Times New Roman" w:hAnsi="Simplified Arabic" w:cs="Simplified Arabic" w:hint="cs"/>
          <w:kern w:val="0"/>
          <w:sz w:val="32"/>
          <w:szCs w:val="32"/>
          <w:rtl/>
          <w:lang w:val="fr-FR" w:eastAsia="fr-FR"/>
          <w14:ligatures w14:val="none"/>
        </w:rPr>
        <w:t>، دون</w:t>
      </w:r>
      <w:r w:rsidRPr="00BE7DE0">
        <w:rPr>
          <w:rFonts w:ascii="Simplified Arabic" w:eastAsia="Times New Roman" w:hAnsi="Simplified Arabic" w:cs="Simplified Arabic"/>
          <w:kern w:val="0"/>
          <w:sz w:val="32"/>
          <w:szCs w:val="32"/>
          <w:rtl/>
          <w:lang w:val="fr-FR" w:eastAsia="fr-FR"/>
          <w14:ligatures w14:val="none"/>
        </w:rPr>
        <w:t xml:space="preserve"> </w:t>
      </w:r>
      <w:r w:rsidRPr="00BE7DE0">
        <w:rPr>
          <w:rFonts w:ascii="Simplified Arabic" w:eastAsia="Times New Roman" w:hAnsi="Simplified Arabic" w:cs="Simplified Arabic" w:hint="cs"/>
          <w:kern w:val="0"/>
          <w:sz w:val="32"/>
          <w:szCs w:val="32"/>
          <w:rtl/>
          <w:lang w:val="fr-FR" w:eastAsia="fr-FR"/>
          <w14:ligatures w14:val="none"/>
        </w:rPr>
        <w:t>أن</w:t>
      </w:r>
      <w:r w:rsidRPr="00BE7DE0">
        <w:rPr>
          <w:rFonts w:ascii="Simplified Arabic" w:eastAsia="Times New Roman" w:hAnsi="Simplified Arabic" w:cs="Simplified Arabic"/>
          <w:kern w:val="0"/>
          <w:sz w:val="32"/>
          <w:szCs w:val="32"/>
          <w:rtl/>
          <w:lang w:val="fr-FR" w:eastAsia="fr-FR"/>
          <w14:ligatures w14:val="none"/>
        </w:rPr>
        <w:t xml:space="preserve"> ننسى الرواية البوليسية التي تبتكر عوالم من الغموض والتشويق، حيث يحاول البطل كشف لغز جريمة ما</w:t>
      </w:r>
      <w:r w:rsidRPr="00BE7DE0">
        <w:rPr>
          <w:rFonts w:ascii="Simplified Arabic" w:eastAsia="Times New Roman" w:hAnsi="Simplified Arabic" w:cs="Simplified Arabic" w:hint="cs"/>
          <w:kern w:val="0"/>
          <w:sz w:val="32"/>
          <w:szCs w:val="32"/>
          <w:rtl/>
          <w:lang w:val="fr-FR" w:eastAsia="fr-FR"/>
          <w14:ligatures w14:val="none"/>
        </w:rPr>
        <w:t xml:space="preserve"> مثلما نقف على ذلك مع أعمال "أغاثا كريستي"</w:t>
      </w:r>
    </w:p>
    <w:sectPr w:rsidR="00AB4054" w:rsidRPr="00CA6AFE"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43ADA2" w14:textId="77777777" w:rsidR="001A5E7C" w:rsidRDefault="001A5E7C" w:rsidP="00D13693">
      <w:pPr>
        <w:spacing w:after="0" w:line="240" w:lineRule="auto"/>
      </w:pPr>
      <w:r>
        <w:separator/>
      </w:r>
    </w:p>
  </w:endnote>
  <w:endnote w:type="continuationSeparator" w:id="0">
    <w:p w14:paraId="44FE327A" w14:textId="77777777" w:rsidR="001A5E7C" w:rsidRDefault="001A5E7C"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29C99" w14:textId="77777777" w:rsidR="001A5E7C" w:rsidRDefault="001A5E7C" w:rsidP="00D13693">
      <w:pPr>
        <w:spacing w:after="0" w:line="240" w:lineRule="auto"/>
      </w:pPr>
      <w:r>
        <w:separator/>
      </w:r>
    </w:p>
  </w:footnote>
  <w:footnote w:type="continuationSeparator" w:id="0">
    <w:p w14:paraId="24EDBA58" w14:textId="77777777" w:rsidR="001A5E7C" w:rsidRDefault="001A5E7C" w:rsidP="00D13693">
      <w:pPr>
        <w:spacing w:after="0" w:line="240" w:lineRule="auto"/>
      </w:pPr>
      <w:r>
        <w:continuationSeparator/>
      </w:r>
    </w:p>
  </w:footnote>
  <w:footnote w:id="1">
    <w:p w14:paraId="59EFB350" w14:textId="77777777" w:rsidR="00CA6AFE" w:rsidRPr="00BE7DE0" w:rsidRDefault="00CA6AFE" w:rsidP="00CA6AFE">
      <w:pPr>
        <w:pStyle w:val="Notedebasdepage"/>
        <w:rPr>
          <w:rFonts w:ascii="Simplified Arabic" w:hAnsi="Simplified Arabic" w:cs="Simplified Arabic"/>
          <w:sz w:val="24"/>
          <w:szCs w:val="24"/>
        </w:rPr>
      </w:pPr>
      <w:r w:rsidRPr="00BE7DE0">
        <w:rPr>
          <w:rStyle w:val="Appelnotedebasdep"/>
          <w:rFonts w:ascii="Simplified Arabic" w:hAnsi="Simplified Arabic" w:cs="Simplified Arabic"/>
          <w:sz w:val="24"/>
          <w:szCs w:val="24"/>
        </w:rPr>
        <w:footnoteRef/>
      </w:r>
      <w:r w:rsidRPr="00BE7DE0">
        <w:rPr>
          <w:rFonts w:ascii="Simplified Arabic" w:hAnsi="Simplified Arabic" w:cs="Simplified Arabic"/>
          <w:sz w:val="24"/>
          <w:szCs w:val="24"/>
          <w:rtl/>
        </w:rPr>
        <w:t xml:space="preserve"> -محمد عز الدين المناصرة، الأجناس الأدبية في ضوء الشعريات المقارنة، دار الراية للنشر والتوزيع، عمان، الطبعة الأولى، 2010، ص 138.</w:t>
      </w:r>
    </w:p>
  </w:footnote>
  <w:footnote w:id="2">
    <w:p w14:paraId="5BBEEE62" w14:textId="77777777" w:rsidR="00CA6AFE" w:rsidRPr="00BE7DE0" w:rsidRDefault="00CA6AFE" w:rsidP="00CA6AFE">
      <w:pPr>
        <w:pStyle w:val="Notedebasdepage"/>
        <w:rPr>
          <w:rFonts w:ascii="Simplified Arabic" w:hAnsi="Simplified Arabic" w:cs="Simplified Arabic"/>
          <w:sz w:val="24"/>
          <w:szCs w:val="24"/>
        </w:rPr>
      </w:pPr>
      <w:r w:rsidRPr="00BE7DE0">
        <w:rPr>
          <w:rStyle w:val="Appelnotedebasdep"/>
          <w:rFonts w:ascii="Simplified Arabic" w:hAnsi="Simplified Arabic" w:cs="Simplified Arabic"/>
          <w:sz w:val="24"/>
          <w:szCs w:val="24"/>
        </w:rPr>
        <w:footnoteRef/>
      </w:r>
      <w:r w:rsidRPr="00BE7DE0">
        <w:rPr>
          <w:rFonts w:ascii="Simplified Arabic" w:hAnsi="Simplified Arabic" w:cs="Simplified Arabic"/>
          <w:sz w:val="24"/>
          <w:szCs w:val="24"/>
          <w:rtl/>
        </w:rPr>
        <w:t xml:space="preserve"> -نبيل حداد، تداخل الأنواع الأدبية، ص 739.</w:t>
      </w:r>
    </w:p>
  </w:footnote>
  <w:footnote w:id="3">
    <w:p w14:paraId="46CC1C23" w14:textId="77777777" w:rsidR="00CA6AFE" w:rsidRPr="00BE7DE0" w:rsidRDefault="00CA6AFE" w:rsidP="00CA6AFE">
      <w:pPr>
        <w:pStyle w:val="Notedebasdepage"/>
        <w:rPr>
          <w:rFonts w:ascii="Simplified Arabic" w:hAnsi="Simplified Arabic" w:cs="Simplified Arabic"/>
          <w:sz w:val="24"/>
          <w:szCs w:val="24"/>
        </w:rPr>
      </w:pPr>
      <w:r w:rsidRPr="00BE7DE0">
        <w:rPr>
          <w:rStyle w:val="Appelnotedebasdep"/>
          <w:rFonts w:ascii="Simplified Arabic" w:hAnsi="Simplified Arabic" w:cs="Simplified Arabic"/>
          <w:sz w:val="24"/>
          <w:szCs w:val="24"/>
        </w:rPr>
        <w:footnoteRef/>
      </w:r>
      <w:r w:rsidRPr="00BE7DE0">
        <w:rPr>
          <w:rFonts w:ascii="Simplified Arabic" w:hAnsi="Simplified Arabic" w:cs="Simplified Arabic"/>
          <w:sz w:val="24"/>
          <w:szCs w:val="24"/>
          <w:rtl/>
        </w:rPr>
        <w:t xml:space="preserve"> -سناء سلمان العبيدي، الشخصية في الفن القصصي والروائي عند سعد المالح، دار غيداء للنشر والتوزيع، عمان، الطبعة الأولى، 2016، ص 18.</w:t>
      </w:r>
    </w:p>
  </w:footnote>
  <w:footnote w:id="4">
    <w:p w14:paraId="1F605231" w14:textId="77777777" w:rsidR="00CA6AFE" w:rsidRPr="00BE7DE0" w:rsidRDefault="00CA6AFE" w:rsidP="00CA6AFE">
      <w:pPr>
        <w:pStyle w:val="Notedebasdepage"/>
        <w:rPr>
          <w:rFonts w:ascii="Simplified Arabic" w:hAnsi="Simplified Arabic" w:cs="Simplified Arabic"/>
          <w:sz w:val="24"/>
          <w:szCs w:val="24"/>
        </w:rPr>
      </w:pPr>
      <w:r w:rsidRPr="00BE7DE0">
        <w:rPr>
          <w:rStyle w:val="Appelnotedebasdep"/>
          <w:rFonts w:ascii="Simplified Arabic" w:hAnsi="Simplified Arabic" w:cs="Simplified Arabic"/>
          <w:sz w:val="24"/>
          <w:szCs w:val="24"/>
        </w:rPr>
        <w:footnoteRef/>
      </w:r>
      <w:r w:rsidRPr="00BE7DE0">
        <w:rPr>
          <w:rFonts w:ascii="Simplified Arabic" w:hAnsi="Simplified Arabic" w:cs="Simplified Arabic"/>
          <w:sz w:val="24"/>
          <w:szCs w:val="24"/>
          <w:rtl/>
        </w:rPr>
        <w:t xml:space="preserve"> -حميد </w:t>
      </w:r>
      <w:proofErr w:type="spellStart"/>
      <w:r w:rsidRPr="00BE7DE0">
        <w:rPr>
          <w:rFonts w:ascii="Simplified Arabic" w:hAnsi="Simplified Arabic" w:cs="Simplified Arabic"/>
          <w:sz w:val="24"/>
          <w:szCs w:val="24"/>
          <w:rtl/>
        </w:rPr>
        <w:t>الحميداني</w:t>
      </w:r>
      <w:proofErr w:type="spellEnd"/>
      <w:r w:rsidRPr="00BE7DE0">
        <w:rPr>
          <w:rFonts w:ascii="Simplified Arabic" w:hAnsi="Simplified Arabic" w:cs="Simplified Arabic"/>
          <w:sz w:val="24"/>
          <w:szCs w:val="24"/>
          <w:rtl/>
        </w:rPr>
        <w:t xml:space="preserve">، بنية النص السردي من منظور النص </w:t>
      </w:r>
      <w:proofErr w:type="gramStart"/>
      <w:r w:rsidRPr="00BE7DE0">
        <w:rPr>
          <w:rFonts w:ascii="Simplified Arabic" w:hAnsi="Simplified Arabic" w:cs="Simplified Arabic"/>
          <w:sz w:val="24"/>
          <w:szCs w:val="24"/>
          <w:rtl/>
        </w:rPr>
        <w:t>الأدبي ،</w:t>
      </w:r>
      <w:proofErr w:type="gramEnd"/>
      <w:r w:rsidRPr="00BE7DE0">
        <w:rPr>
          <w:rFonts w:ascii="Simplified Arabic" w:hAnsi="Simplified Arabic" w:cs="Simplified Arabic"/>
          <w:sz w:val="24"/>
          <w:szCs w:val="24"/>
          <w:rtl/>
        </w:rPr>
        <w:t xml:space="preserve"> المركز الثقافي العربي، الدار </w:t>
      </w:r>
      <w:proofErr w:type="spellStart"/>
      <w:r w:rsidRPr="00BE7DE0">
        <w:rPr>
          <w:rFonts w:ascii="Simplified Arabic" w:hAnsi="Simplified Arabic" w:cs="Simplified Arabic"/>
          <w:sz w:val="24"/>
          <w:szCs w:val="24"/>
          <w:rtl/>
        </w:rPr>
        <w:t>البيضاء،المغرب</w:t>
      </w:r>
      <w:proofErr w:type="spellEnd"/>
      <w:r w:rsidRPr="00BE7DE0">
        <w:rPr>
          <w:rFonts w:ascii="Simplified Arabic" w:hAnsi="Simplified Arabic" w:cs="Simplified Arabic"/>
          <w:sz w:val="24"/>
          <w:szCs w:val="24"/>
          <w:rtl/>
        </w:rPr>
        <w:t>، 2000، ص 57.</w:t>
      </w:r>
    </w:p>
  </w:footnote>
  <w:footnote w:id="5">
    <w:p w14:paraId="4D3DF5B8" w14:textId="77777777" w:rsidR="00CA6AFE" w:rsidRPr="00BE7DE0" w:rsidRDefault="00CA6AFE" w:rsidP="00CA6AFE">
      <w:pPr>
        <w:pStyle w:val="Notedebasdepage"/>
        <w:rPr>
          <w:rFonts w:ascii="Simplified Arabic" w:hAnsi="Simplified Arabic" w:cs="Simplified Arabic"/>
          <w:sz w:val="24"/>
          <w:szCs w:val="24"/>
        </w:rPr>
      </w:pPr>
      <w:r w:rsidRPr="00BE7DE0">
        <w:rPr>
          <w:rStyle w:val="Appelnotedebasdep"/>
          <w:rFonts w:ascii="Simplified Arabic" w:hAnsi="Simplified Arabic" w:cs="Simplified Arabic"/>
          <w:sz w:val="24"/>
          <w:szCs w:val="24"/>
        </w:rPr>
        <w:footnoteRef/>
      </w:r>
      <w:r w:rsidRPr="00BE7DE0">
        <w:rPr>
          <w:rFonts w:ascii="Simplified Arabic" w:hAnsi="Simplified Arabic" w:cs="Simplified Arabic"/>
          <w:sz w:val="24"/>
          <w:szCs w:val="24"/>
          <w:rtl/>
        </w:rPr>
        <w:t xml:space="preserve"> -</w:t>
      </w:r>
      <w:proofErr w:type="spellStart"/>
      <w:r w:rsidRPr="00BE7DE0">
        <w:rPr>
          <w:rFonts w:ascii="Simplified Arabic" w:hAnsi="Simplified Arabic" w:cs="Simplified Arabic"/>
          <w:sz w:val="24"/>
          <w:szCs w:val="24"/>
          <w:rtl/>
        </w:rPr>
        <w:t>سيزا</w:t>
      </w:r>
      <w:proofErr w:type="spellEnd"/>
      <w:r w:rsidRPr="00BE7DE0">
        <w:rPr>
          <w:rFonts w:ascii="Simplified Arabic" w:hAnsi="Simplified Arabic" w:cs="Simplified Arabic"/>
          <w:sz w:val="24"/>
          <w:szCs w:val="24"/>
          <w:rtl/>
        </w:rPr>
        <w:t xml:space="preserve"> قاسم، بناء الرواية؛ دراسة مقارنة لنجيب محفوظ، الهيئة المصرية العامة للكتاب، القاهرة </w:t>
      </w:r>
      <w:proofErr w:type="gramStart"/>
      <w:r w:rsidRPr="00BE7DE0">
        <w:rPr>
          <w:rFonts w:ascii="Simplified Arabic" w:hAnsi="Simplified Arabic" w:cs="Simplified Arabic"/>
          <w:sz w:val="24"/>
          <w:szCs w:val="24"/>
          <w:rtl/>
        </w:rPr>
        <w:t>مصر،  د</w:t>
      </w:r>
      <w:proofErr w:type="gramEnd"/>
      <w:r w:rsidRPr="00BE7DE0">
        <w:rPr>
          <w:rFonts w:ascii="Simplified Arabic" w:hAnsi="Simplified Arabic" w:cs="Simplified Arabic"/>
          <w:sz w:val="24"/>
          <w:szCs w:val="24"/>
          <w:rtl/>
        </w:rPr>
        <w:t xml:space="preserve"> ط، 1984،ص 74.</w:t>
      </w:r>
    </w:p>
  </w:footnote>
  <w:footnote w:id="6">
    <w:p w14:paraId="5D087E77" w14:textId="77777777" w:rsidR="00CA6AFE" w:rsidRPr="00BE7DE0" w:rsidRDefault="00CA6AFE" w:rsidP="00CA6AFE">
      <w:pPr>
        <w:pStyle w:val="Notedebasdepage"/>
        <w:rPr>
          <w:rFonts w:ascii="Simplified Arabic" w:hAnsi="Simplified Arabic" w:cs="Simplified Arabic"/>
          <w:sz w:val="24"/>
          <w:szCs w:val="24"/>
        </w:rPr>
      </w:pPr>
      <w:r w:rsidRPr="00BE7DE0">
        <w:rPr>
          <w:rStyle w:val="Appelnotedebasdep"/>
          <w:rFonts w:ascii="Simplified Arabic" w:hAnsi="Simplified Arabic" w:cs="Simplified Arabic"/>
          <w:sz w:val="24"/>
          <w:szCs w:val="24"/>
        </w:rPr>
        <w:footnoteRef/>
      </w:r>
      <w:r w:rsidRPr="00BE7DE0">
        <w:rPr>
          <w:rFonts w:ascii="Simplified Arabic" w:hAnsi="Simplified Arabic" w:cs="Simplified Arabic"/>
          <w:sz w:val="24"/>
          <w:szCs w:val="24"/>
          <w:rtl/>
        </w:rPr>
        <w:t xml:space="preserve"> -مرشد أحمد، البنية والدلالة في روايات إبراهيم نصر الله، المؤسسة العربية للدراسات والنشر، بيروت، لبنان، الطبعة الأولى، 2005، ص 233.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60BD9"/>
    <w:rsid w:val="00164333"/>
    <w:rsid w:val="00184B12"/>
    <w:rsid w:val="00185C7F"/>
    <w:rsid w:val="0018738B"/>
    <w:rsid w:val="001A0568"/>
    <w:rsid w:val="001A1893"/>
    <w:rsid w:val="001A1C3A"/>
    <w:rsid w:val="001A48E4"/>
    <w:rsid w:val="001A5E7C"/>
    <w:rsid w:val="001B0A81"/>
    <w:rsid w:val="001B5CC2"/>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91561"/>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461BC"/>
    <w:rsid w:val="006567B0"/>
    <w:rsid w:val="006641F3"/>
    <w:rsid w:val="00666563"/>
    <w:rsid w:val="00675457"/>
    <w:rsid w:val="00682374"/>
    <w:rsid w:val="00684199"/>
    <w:rsid w:val="00684F24"/>
    <w:rsid w:val="0068660E"/>
    <w:rsid w:val="006A2DB6"/>
    <w:rsid w:val="006A44DD"/>
    <w:rsid w:val="006A4FC3"/>
    <w:rsid w:val="006A6CAC"/>
    <w:rsid w:val="006B0C45"/>
    <w:rsid w:val="006B1755"/>
    <w:rsid w:val="006B4FDB"/>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91234"/>
    <w:rsid w:val="007A0B31"/>
    <w:rsid w:val="007A0FEB"/>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7129"/>
    <w:rsid w:val="00927E35"/>
    <w:rsid w:val="00931935"/>
    <w:rsid w:val="00936B39"/>
    <w:rsid w:val="00953543"/>
    <w:rsid w:val="009611F0"/>
    <w:rsid w:val="00962BF7"/>
    <w:rsid w:val="009634D9"/>
    <w:rsid w:val="009643FF"/>
    <w:rsid w:val="00971361"/>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228C"/>
    <w:rsid w:val="009C4C16"/>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6AFE"/>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21B1"/>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62874-1135-4FAC-90C1-01D92088E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3</Pages>
  <Words>588</Words>
  <Characters>3236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169</cp:revision>
  <dcterms:created xsi:type="dcterms:W3CDTF">2023-12-10T10:52:00Z</dcterms:created>
  <dcterms:modified xsi:type="dcterms:W3CDTF">2026-01-20T18:40:00Z</dcterms:modified>
</cp:coreProperties>
</file>