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65ADC0" w14:textId="021C7B33" w:rsidR="00391561" w:rsidRPr="00966168" w:rsidRDefault="004E7C3E" w:rsidP="00966168">
      <w:pPr>
        <w:jc w:val="mediumKashida"/>
        <w:rPr>
          <w:rFonts w:ascii="Simplified Arabic" w:hAnsi="Simplified Arabic" w:cs="Simplified Arabic"/>
          <w:b/>
          <w:bCs/>
          <w:sz w:val="32"/>
          <w:szCs w:val="32"/>
          <w:rtl/>
          <w:lang w:val="en-GB" w:bidi="ar-TN"/>
        </w:rPr>
      </w:pPr>
      <w:r w:rsidRPr="00966168">
        <w:rPr>
          <w:rFonts w:ascii="Simplified Arabic" w:hAnsi="Simplified Arabic" w:cs="Simplified Arabic" w:hint="cs"/>
          <w:b/>
          <w:bCs/>
          <w:sz w:val="32"/>
          <w:szCs w:val="32"/>
          <w:rtl/>
          <w:lang w:val="en-GB" w:bidi="ar-TN"/>
        </w:rPr>
        <w:t>المحاضرة الخامسة-الأجناس</w:t>
      </w:r>
      <w:r w:rsidR="00966168" w:rsidRPr="00966168">
        <w:rPr>
          <w:rFonts w:ascii="Simplified Arabic" w:hAnsi="Simplified Arabic" w:cs="Simplified Arabic" w:hint="cs"/>
          <w:b/>
          <w:bCs/>
          <w:sz w:val="32"/>
          <w:szCs w:val="32"/>
          <w:rtl/>
          <w:lang w:val="en-GB" w:bidi="ar-TN"/>
        </w:rPr>
        <w:t xml:space="preserve"> النثرية </w:t>
      </w:r>
      <w:proofErr w:type="gramStart"/>
      <w:r w:rsidR="00966168" w:rsidRPr="00966168">
        <w:rPr>
          <w:rFonts w:ascii="Simplified Arabic" w:hAnsi="Simplified Arabic" w:cs="Simplified Arabic" w:hint="cs"/>
          <w:b/>
          <w:bCs/>
          <w:sz w:val="32"/>
          <w:szCs w:val="32"/>
          <w:rtl/>
          <w:lang w:val="en-GB" w:bidi="ar-TN"/>
        </w:rPr>
        <w:t>السردية-</w:t>
      </w:r>
      <w:r w:rsidRPr="00966168">
        <w:rPr>
          <w:rFonts w:ascii="Simplified Arabic" w:hAnsi="Simplified Arabic" w:cs="Simplified Arabic" w:hint="cs"/>
          <w:b/>
          <w:bCs/>
          <w:sz w:val="32"/>
          <w:szCs w:val="32"/>
          <w:rtl/>
          <w:lang w:val="en-GB" w:bidi="ar-TN"/>
        </w:rPr>
        <w:t xml:space="preserve"> المقامات</w:t>
      </w:r>
      <w:proofErr w:type="gramEnd"/>
      <w:r w:rsidR="00966168" w:rsidRPr="00966168">
        <w:rPr>
          <w:rFonts w:ascii="Simplified Arabic" w:hAnsi="Simplified Arabic" w:cs="Simplified Arabic" w:hint="cs"/>
          <w:b/>
          <w:bCs/>
          <w:sz w:val="32"/>
          <w:szCs w:val="32"/>
          <w:rtl/>
          <w:lang w:val="en-GB" w:bidi="ar-TN"/>
        </w:rPr>
        <w:t>(الهمذاني، الحريري)</w:t>
      </w:r>
    </w:p>
    <w:p w14:paraId="34A5CBA2" w14:textId="77777777" w:rsidR="004E7C3E" w:rsidRDefault="004E7C3E" w:rsidP="004E7C3E">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المفهوم والنشأة</w:t>
      </w:r>
    </w:p>
    <w:p w14:paraId="5781DC8B" w14:textId="77777777" w:rsidR="004E7C3E" w:rsidRDefault="004E7C3E" w:rsidP="004E7C3E">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يرتبط فن المقامة بالفنون النثرية العربية </w:t>
      </w:r>
      <w:r>
        <w:rPr>
          <w:rFonts w:ascii="Simplified Arabic" w:hAnsi="Simplified Arabic" w:cs="Simplified Arabic"/>
          <w:sz w:val="32"/>
          <w:szCs w:val="32"/>
          <w:rtl/>
          <w:lang w:val="en-GB" w:bidi="ar-TN"/>
        </w:rPr>
        <w:t>التراثية التي تعتمد على زخرف ال</w:t>
      </w:r>
      <w:r w:rsidRPr="00481168">
        <w:rPr>
          <w:rFonts w:ascii="Simplified Arabic" w:hAnsi="Simplified Arabic" w:cs="Simplified Arabic"/>
          <w:sz w:val="32"/>
          <w:szCs w:val="32"/>
          <w:rtl/>
          <w:lang w:val="en-GB" w:bidi="ar-TN"/>
        </w:rPr>
        <w:t xml:space="preserve">ألفاظ والتنسيق </w:t>
      </w:r>
      <w:r>
        <w:rPr>
          <w:rFonts w:ascii="Simplified Arabic" w:hAnsi="Simplified Arabic" w:cs="Simplified Arabic"/>
          <w:sz w:val="32"/>
          <w:szCs w:val="32"/>
          <w:rtl/>
          <w:lang w:val="en-GB" w:bidi="ar-TN"/>
        </w:rPr>
        <w:t>المنمق للعبارات فهي «</w:t>
      </w:r>
      <w:r>
        <w:rPr>
          <w:rFonts w:ascii="Simplified Arabic" w:hAnsi="Simplified Arabic" w:cs="Simplified Arabic" w:hint="cs"/>
          <w:sz w:val="32"/>
          <w:szCs w:val="32"/>
          <w:rtl/>
          <w:lang w:val="en-GB" w:bidi="ar-TN"/>
        </w:rPr>
        <w:t>قصص قصيرة تدور حول شخصيات نمطية من أصحاب الكدية غالبا، وتعتمد على فن الإضحاك من تصرفات تلك الشخصيات وحيلها بهدف الإضحاك أو السخرية أو النقد الاجتماعي أو النقد الأدبي أو غير ذلك، وتصاغ بأسلوب يكثر فيه الغريب والصور البيانية وضروب البديع</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1"/>
      </w:r>
      <w:r>
        <w:rPr>
          <w:rFonts w:ascii="Simplified Arabic" w:hAnsi="Simplified Arabic" w:cs="Simplified Arabic" w:hint="cs"/>
          <w:sz w:val="32"/>
          <w:szCs w:val="32"/>
          <w:rtl/>
          <w:lang w:val="en-GB" w:bidi="ar-TN"/>
        </w:rPr>
        <w:t xml:space="preserve"> وعلى الرغم من قيمة النماذج النثرية التراثية إلا أنها لم تنل حقها من الاستحضار </w:t>
      </w:r>
      <w:r w:rsidRPr="005469D6">
        <w:rPr>
          <w:rFonts w:ascii="Simplified Arabic" w:hAnsi="Simplified Arabic" w:cs="Simplified Arabic" w:hint="cs"/>
          <w:sz w:val="32"/>
          <w:szCs w:val="32"/>
          <w:rtl/>
          <w:lang w:val="en-GB" w:bidi="ar-TN"/>
        </w:rPr>
        <w:t xml:space="preserve">والدراسة بالمقارنة مع الأعمال الأدبية الشعرية التي اكتست جملة المقاربات التراثية، حيث </w:t>
      </w:r>
      <w:r w:rsidRPr="005469D6">
        <w:rPr>
          <w:rFonts w:ascii="Simplified Arabic" w:hAnsi="Simplified Arabic" w:cs="Simplified Arabic"/>
          <w:sz w:val="32"/>
          <w:szCs w:val="32"/>
          <w:rtl/>
          <w:lang w:val="en-GB" w:bidi="ar-TN"/>
        </w:rPr>
        <w:t>«</w:t>
      </w:r>
      <w:r w:rsidRPr="005469D6">
        <w:rPr>
          <w:rFonts w:ascii="Simplified Arabic" w:hAnsi="Simplified Arabic" w:cs="Simplified Arabic" w:hint="cs"/>
          <w:sz w:val="32"/>
          <w:szCs w:val="32"/>
          <w:rtl/>
          <w:lang w:val="en-GB" w:bidi="ar-TN"/>
        </w:rPr>
        <w:t xml:space="preserve"> لم ينل حظه من الدراسة، ولم يحتل مكانته في الساحة النقدية العربية إلا في العصر الحديث، بفعل تلقي الدراسات السردية الغربية في تناولها للأشكال السردية</w:t>
      </w:r>
      <w:r w:rsidRPr="005469D6">
        <w:rPr>
          <w:rFonts w:ascii="Simplified Arabic" w:hAnsi="Simplified Arabic" w:cs="Simplified Arabic"/>
          <w:sz w:val="32"/>
          <w:szCs w:val="32"/>
          <w:rtl/>
          <w:lang w:val="en-GB" w:bidi="ar-TN"/>
        </w:rPr>
        <w:t>»</w:t>
      </w:r>
      <w:r w:rsidRPr="005469D6">
        <w:rPr>
          <w:rStyle w:val="Appelnotedebasdep"/>
          <w:rFonts w:ascii="Simplified Arabic" w:hAnsi="Simplified Arabic" w:cs="Simplified Arabic"/>
          <w:sz w:val="32"/>
          <w:szCs w:val="32"/>
          <w:rtl/>
          <w:lang w:val="en-GB" w:bidi="ar-TN"/>
        </w:rPr>
        <w:footnoteReference w:id="2"/>
      </w:r>
      <w:r w:rsidRPr="005469D6">
        <w:rPr>
          <w:rFonts w:ascii="Simplified Arabic" w:hAnsi="Simplified Arabic" w:cs="Simplified Arabic"/>
          <w:sz w:val="32"/>
          <w:szCs w:val="32"/>
          <w:rtl/>
          <w:lang w:val="en-GB" w:bidi="ar-TN"/>
        </w:rPr>
        <w:t xml:space="preserve"> وبالحديث عن الظروف أو العوامل التي أسهمت في ظهور المقامة </w:t>
      </w:r>
      <w:r w:rsidRPr="005469D6">
        <w:rPr>
          <w:rFonts w:ascii="Simplified Arabic" w:hAnsi="Simplified Arabic" w:cs="Simplified Arabic" w:hint="cs"/>
          <w:sz w:val="32"/>
          <w:szCs w:val="32"/>
          <w:rtl/>
          <w:lang w:val="en-GB" w:bidi="ar-TN"/>
        </w:rPr>
        <w:t>فقد ازدهر هذا النوع الفني</w:t>
      </w:r>
      <w:r>
        <w:rPr>
          <w:rFonts w:ascii="Simplified Arabic" w:hAnsi="Simplified Arabic" w:cs="Simplified Arabic" w:hint="cs"/>
          <w:sz w:val="32"/>
          <w:szCs w:val="32"/>
          <w:rtl/>
          <w:lang w:val="en-GB" w:bidi="ar-TN"/>
        </w:rPr>
        <w:t xml:space="preserve"> في العصر العباسي تماشيا مع </w:t>
      </w:r>
      <w:r>
        <w:rPr>
          <w:rFonts w:ascii="Simplified Arabic" w:hAnsi="Simplified Arabic" w:cs="Simplified Arabic"/>
          <w:sz w:val="32"/>
          <w:szCs w:val="32"/>
          <w:rtl/>
          <w:lang w:val="en-GB" w:bidi="ar-TN"/>
        </w:rPr>
        <w:t>«</w:t>
      </w:r>
      <w:r w:rsidRPr="00481168">
        <w:rPr>
          <w:rFonts w:ascii="Simplified Arabic" w:hAnsi="Simplified Arabic" w:cs="Simplified Arabic"/>
          <w:sz w:val="32"/>
          <w:szCs w:val="32"/>
          <w:rtl/>
          <w:lang w:val="en-GB" w:bidi="ar-TN"/>
        </w:rPr>
        <w:t xml:space="preserve">تضافر تيارين سادا في الأدب العربي خلال القرن الرابع الهجري، هما تيار الحرمان والتسول، وتيار </w:t>
      </w:r>
      <w:proofErr w:type="spellStart"/>
      <w:r w:rsidRPr="00481168">
        <w:rPr>
          <w:rFonts w:ascii="Simplified Arabic" w:hAnsi="Simplified Arabic" w:cs="Simplified Arabic"/>
          <w:sz w:val="32"/>
          <w:szCs w:val="32"/>
          <w:rtl/>
          <w:lang w:val="en-GB" w:bidi="ar-TN"/>
        </w:rPr>
        <w:t>الصنعة</w:t>
      </w:r>
      <w:proofErr w:type="spellEnd"/>
      <w:r w:rsidRPr="00481168">
        <w:rPr>
          <w:rFonts w:ascii="Simplified Arabic" w:hAnsi="Simplified Arabic" w:cs="Simplified Arabic"/>
          <w:sz w:val="32"/>
          <w:szCs w:val="32"/>
          <w:rtl/>
          <w:lang w:val="en-GB" w:bidi="ar-TN"/>
        </w:rPr>
        <w:t xml:space="preserve"> والتنميق، حيث لم يكن لدى كثير من الناس حرج في اصطناع التسول بواسطة الطريقة التقليدية التي غالبا ما</w:t>
      </w:r>
      <w:r>
        <w:rPr>
          <w:rFonts w:ascii="Simplified Arabic" w:hAnsi="Simplified Arabic" w:cs="Simplified Arabic" w:hint="cs"/>
          <w:sz w:val="32"/>
          <w:szCs w:val="32"/>
          <w:rtl/>
          <w:lang w:val="en-GB" w:bidi="ar-TN"/>
        </w:rPr>
        <w:t xml:space="preserve"> </w:t>
      </w:r>
      <w:r w:rsidRPr="00481168">
        <w:rPr>
          <w:rFonts w:ascii="Simplified Arabic" w:hAnsi="Simplified Arabic" w:cs="Simplified Arabic"/>
          <w:sz w:val="32"/>
          <w:szCs w:val="32"/>
          <w:rtl/>
          <w:lang w:val="en-GB" w:bidi="ar-TN"/>
        </w:rPr>
        <w:t>تكون ثقيلة الوقع في النفوس ، فإن الفقراء ومن في حكمهم ابتكروا طرقا  أخرى للتسول الذي أصبح استجداء أو كدية، وهكذا صار للكدية رجالها المعروفون إلا أنهم ليسوا كلهم معوزين ع</w:t>
      </w:r>
      <w:r>
        <w:rPr>
          <w:rFonts w:ascii="Simplified Arabic" w:hAnsi="Simplified Arabic" w:cs="Simplified Arabic"/>
          <w:sz w:val="32"/>
          <w:szCs w:val="32"/>
          <w:rtl/>
          <w:lang w:val="en-GB" w:bidi="ar-TN"/>
        </w:rPr>
        <w:t xml:space="preserve">لى النحو الذي </w:t>
      </w:r>
      <w:r>
        <w:rPr>
          <w:rFonts w:ascii="Simplified Arabic" w:hAnsi="Simplified Arabic" w:cs="Simplified Arabic"/>
          <w:sz w:val="32"/>
          <w:szCs w:val="32"/>
          <w:rtl/>
          <w:lang w:val="en-GB" w:bidi="ar-TN"/>
        </w:rPr>
        <w:lastRenderedPageBreak/>
        <w:t>كانوا يتظاهرون به»</w:t>
      </w:r>
      <w:r>
        <w:rPr>
          <w:rStyle w:val="Appelnotedebasdep"/>
          <w:rFonts w:ascii="Simplified Arabic" w:hAnsi="Simplified Arabic" w:cs="Simplified Arabic"/>
          <w:sz w:val="32"/>
          <w:szCs w:val="32"/>
          <w:rtl/>
          <w:lang w:val="en-GB" w:bidi="ar-TN"/>
        </w:rPr>
        <w:footnoteReference w:id="3"/>
      </w:r>
      <w:r>
        <w:rPr>
          <w:rFonts w:ascii="Simplified Arabic" w:hAnsi="Simplified Arabic" w:cs="Simplified Arabic" w:hint="cs"/>
          <w:sz w:val="32"/>
          <w:szCs w:val="32"/>
          <w:rtl/>
          <w:lang w:val="en-GB" w:bidi="ar-TN"/>
        </w:rPr>
        <w:t xml:space="preserve"> بل تحولوا إلى اعتماد هذه الطرق من التسول لاشتهارها في تلك الفترة تماشيا مع بروز النماذج الفنية للهمذاني والحريري</w:t>
      </w:r>
    </w:p>
    <w:p w14:paraId="2BF6A068" w14:textId="77777777" w:rsidR="004E7C3E" w:rsidRDefault="004E7C3E" w:rsidP="004E7C3E">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الخصائص الفنية للمقامات</w:t>
      </w:r>
    </w:p>
    <w:p w14:paraId="2F747C71" w14:textId="77777777" w:rsidR="004E7C3E" w:rsidRDefault="004E7C3E" w:rsidP="004E7C3E">
      <w:pPr>
        <w:jc w:val="mediumKashida"/>
        <w:rPr>
          <w:rFonts w:ascii="Simplified Arabic" w:hAnsi="Simplified Arabic" w:cs="Simplified Arabic"/>
          <w:sz w:val="32"/>
          <w:szCs w:val="32"/>
          <w:rtl/>
          <w:lang w:val="en-GB" w:bidi="ar-TN"/>
        </w:rPr>
      </w:pPr>
      <w:r>
        <w:rPr>
          <w:rFonts w:ascii="Simplified Arabic" w:hAnsi="Simplified Arabic" w:cs="Simplified Arabic"/>
          <w:sz w:val="32"/>
          <w:szCs w:val="32"/>
          <w:rtl/>
        </w:rPr>
        <w:t>تمثل</w:t>
      </w:r>
      <w:r w:rsidRPr="000D61F4">
        <w:rPr>
          <w:rFonts w:ascii="Simplified Arabic" w:hAnsi="Simplified Arabic" w:cs="Simplified Arabic"/>
          <w:sz w:val="32"/>
          <w:szCs w:val="32"/>
        </w:rPr>
        <w:t> </w:t>
      </w:r>
      <w:r w:rsidRPr="000D61F4">
        <w:rPr>
          <w:rFonts w:ascii="Simplified Arabic" w:hAnsi="Simplified Arabic" w:cs="Simplified Arabic"/>
          <w:sz w:val="32"/>
          <w:szCs w:val="32"/>
          <w:rtl/>
        </w:rPr>
        <w:t>الخ</w:t>
      </w:r>
      <w:r w:rsidRPr="00082CA9">
        <w:rPr>
          <w:rFonts w:ascii="Simplified Arabic" w:hAnsi="Simplified Arabic" w:cs="Simplified Arabic"/>
          <w:sz w:val="32"/>
          <w:szCs w:val="32"/>
          <w:rtl/>
        </w:rPr>
        <w:t>صائص الفنية للمقامات تجسيداً لبراعة السرد العربي الكلاسيكي، حيث تتميز في المقام الأول باعتمادها على بنية لغوية مزخرفة تصل إلى حد الاحتفاء باللفظ، مع الاستخدام المكثف للسجع المتوازن والجناس والطباق، مما يحوّلها إلى عرض بلاغي يهدف إ</w:t>
      </w:r>
      <w:r>
        <w:rPr>
          <w:rFonts w:ascii="Simplified Arabic" w:hAnsi="Simplified Arabic" w:cs="Simplified Arabic"/>
          <w:sz w:val="32"/>
          <w:szCs w:val="32"/>
          <w:rtl/>
        </w:rPr>
        <w:t>لى إظهار المقدرة اللغوية</w:t>
      </w:r>
      <w:r>
        <w:rPr>
          <w:rFonts w:ascii="Simplified Arabic" w:hAnsi="Simplified Arabic" w:cs="Simplified Arabic" w:hint="cs"/>
          <w:sz w:val="32"/>
          <w:szCs w:val="32"/>
          <w:rtl/>
        </w:rPr>
        <w:t>، كما تتضمن أيضا</w:t>
      </w:r>
      <w:r w:rsidRPr="00082CA9">
        <w:rPr>
          <w:rFonts w:ascii="Simplified Arabic" w:hAnsi="Simplified Arabic" w:cs="Simplified Arabic"/>
          <w:sz w:val="32"/>
          <w:szCs w:val="32"/>
          <w:rtl/>
        </w:rPr>
        <w:t xml:space="preserve">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الحبكة البسيطة والحوار اللطيف الذي يدور غالبا بين الراوي والبطل وفيها فيض من المجازات والصور البيانية</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4"/>
      </w:r>
      <w:r>
        <w:rPr>
          <w:rFonts w:ascii="Simplified Arabic" w:hAnsi="Simplified Arabic" w:cs="Simplified Arabic" w:hint="cs"/>
          <w:sz w:val="32"/>
          <w:szCs w:val="32"/>
          <w:rtl/>
          <w:lang w:val="en-GB" w:bidi="ar-TN"/>
        </w:rPr>
        <w:t xml:space="preserve"> على الرغم من اتفاق عدد كبير من النقاد بضعف حبكتها وهذا ما دفع بهم إلى إخراجها من </w:t>
      </w:r>
      <w:proofErr w:type="spellStart"/>
      <w:r>
        <w:rPr>
          <w:rFonts w:ascii="Simplified Arabic" w:hAnsi="Simplified Arabic" w:cs="Simplified Arabic" w:hint="cs"/>
          <w:sz w:val="32"/>
          <w:szCs w:val="32"/>
          <w:rtl/>
          <w:lang w:val="en-GB" w:bidi="ar-TN"/>
        </w:rPr>
        <w:t>الاندراج</w:t>
      </w:r>
      <w:proofErr w:type="spellEnd"/>
      <w:r>
        <w:rPr>
          <w:rFonts w:ascii="Simplified Arabic" w:hAnsi="Simplified Arabic" w:cs="Simplified Arabic" w:hint="cs"/>
          <w:sz w:val="32"/>
          <w:szCs w:val="32"/>
          <w:rtl/>
          <w:lang w:val="en-GB" w:bidi="ar-TN"/>
        </w:rPr>
        <w:t xml:space="preserve"> في فن القصة.</w:t>
      </w:r>
    </w:p>
    <w:p w14:paraId="22D6B98B" w14:textId="77777777" w:rsidR="004E7C3E" w:rsidRPr="00475BB5" w:rsidRDefault="004E7C3E" w:rsidP="004E7C3E">
      <w:pPr>
        <w:jc w:val="mediumKashida"/>
        <w:rPr>
          <w:rFonts w:ascii="Simplified Arabic" w:hAnsi="Simplified Arabic" w:cs="Simplified Arabic"/>
          <w:b/>
          <w:bCs/>
          <w:sz w:val="32"/>
          <w:szCs w:val="32"/>
          <w:lang w:val="en-GB" w:bidi="ar-TN"/>
        </w:rPr>
      </w:pPr>
      <w:r>
        <w:rPr>
          <w:rFonts w:ascii="Simplified Arabic" w:hAnsi="Simplified Arabic" w:cs="Simplified Arabic" w:hint="cs"/>
          <w:sz w:val="32"/>
          <w:szCs w:val="32"/>
          <w:rtl/>
          <w:lang w:bidi="ar-TN"/>
        </w:rPr>
        <w:t xml:space="preserve">كما </w:t>
      </w:r>
      <w:r w:rsidRPr="00082CA9">
        <w:rPr>
          <w:rFonts w:ascii="Simplified Arabic" w:hAnsi="Simplified Arabic" w:cs="Simplified Arabic"/>
          <w:sz w:val="32"/>
          <w:szCs w:val="32"/>
          <w:rtl/>
        </w:rPr>
        <w:t xml:space="preserve">ترتبط الزخرفة اللغوية </w:t>
      </w:r>
      <w:r>
        <w:rPr>
          <w:rFonts w:ascii="Simplified Arabic" w:hAnsi="Simplified Arabic" w:cs="Simplified Arabic" w:hint="cs"/>
          <w:sz w:val="32"/>
          <w:szCs w:val="32"/>
          <w:rtl/>
        </w:rPr>
        <w:t xml:space="preserve">من جهة أخرى </w:t>
      </w:r>
      <w:r w:rsidRPr="00082CA9">
        <w:rPr>
          <w:rFonts w:ascii="Simplified Arabic" w:hAnsi="Simplified Arabic" w:cs="Simplified Arabic"/>
          <w:sz w:val="32"/>
          <w:szCs w:val="32"/>
          <w:rtl/>
        </w:rPr>
        <w:t xml:space="preserve">بالموضوع المحوري الذي يدور حول "الحيلة"؛ </w:t>
      </w:r>
      <w:r>
        <w:rPr>
          <w:rFonts w:ascii="Simplified Arabic" w:hAnsi="Simplified Arabic" w:cs="Simplified Arabic" w:hint="cs"/>
          <w:sz w:val="32"/>
          <w:szCs w:val="32"/>
          <w:rtl/>
        </w:rPr>
        <w:t xml:space="preserve">حيث </w:t>
      </w:r>
      <w:r w:rsidRPr="00082CA9">
        <w:rPr>
          <w:rFonts w:ascii="Simplified Arabic" w:hAnsi="Simplified Arabic" w:cs="Simplified Arabic"/>
          <w:sz w:val="32"/>
          <w:szCs w:val="32"/>
          <w:rtl/>
        </w:rPr>
        <w:t>يتحول البطل المتسول إلى متحدث بارع يستخدم أدوات البلاغة والخطابة والاحتيال الذكي كوسيلة لكسب الرزق أو الهروب من المأزق</w:t>
      </w:r>
      <w:r>
        <w:rPr>
          <w:rFonts w:ascii="Simplified Arabic" w:hAnsi="Simplified Arabic" w:cs="Simplified Arabic" w:hint="cs"/>
          <w:b/>
          <w:bCs/>
          <w:sz w:val="32"/>
          <w:szCs w:val="32"/>
          <w:rtl/>
          <w:lang w:val="en-GB" w:bidi="ar-TN"/>
        </w:rPr>
        <w:t xml:space="preserve">، </w:t>
      </w:r>
      <w:r w:rsidRPr="00966168">
        <w:rPr>
          <w:rFonts w:ascii="Simplified Arabic" w:hAnsi="Simplified Arabic" w:cs="Simplified Arabic" w:hint="cs"/>
          <w:sz w:val="32"/>
          <w:szCs w:val="32"/>
          <w:rtl/>
          <w:lang w:val="en-GB" w:bidi="ar-TN"/>
        </w:rPr>
        <w:t>وهو ما يعني أن المقامات قد تمكنت من تمثيل أشكالا فنية أقرب إلى الصورة الاجتماعية الساخرة التي ترمي إل انتقاد ممارسات سلبية معينة</w:t>
      </w:r>
      <w:r w:rsidRPr="00966168">
        <w:rPr>
          <w:rStyle w:val="Appelnotedebasdep"/>
          <w:rFonts w:ascii="Simplified Arabic" w:hAnsi="Simplified Arabic" w:cs="Simplified Arabic"/>
          <w:sz w:val="32"/>
          <w:szCs w:val="32"/>
          <w:rtl/>
          <w:lang w:val="en-GB" w:bidi="ar-TN"/>
        </w:rPr>
        <w:footnoteReference w:id="5"/>
      </w:r>
      <w:r w:rsidRPr="00966168">
        <w:rPr>
          <w:rFonts w:ascii="Simplified Arabic" w:hAnsi="Simplified Arabic" w:cs="Simplified Arabic" w:hint="cs"/>
          <w:sz w:val="32"/>
          <w:szCs w:val="32"/>
          <w:rtl/>
          <w:lang w:val="en-GB" w:bidi="ar-TN"/>
        </w:rPr>
        <w:t>.</w:t>
      </w:r>
      <w:r w:rsidRPr="00966168">
        <w:rPr>
          <w:rFonts w:ascii="Simplified Arabic" w:hAnsi="Simplified Arabic" w:cs="Simplified Arabic" w:hint="cs"/>
          <w:sz w:val="32"/>
          <w:szCs w:val="32"/>
          <w:rtl/>
        </w:rPr>
        <w:t>حيث يخل</w:t>
      </w:r>
      <w:r>
        <w:rPr>
          <w:rFonts w:ascii="Simplified Arabic" w:hAnsi="Simplified Arabic" w:cs="Simplified Arabic" w:hint="cs"/>
          <w:sz w:val="32"/>
          <w:szCs w:val="32"/>
          <w:rtl/>
        </w:rPr>
        <w:t xml:space="preserve">ق هذا </w:t>
      </w:r>
      <w:r>
        <w:rPr>
          <w:rFonts w:ascii="Simplified Arabic" w:hAnsi="Simplified Arabic" w:cs="Simplified Arabic"/>
          <w:sz w:val="32"/>
          <w:szCs w:val="32"/>
          <w:rtl/>
        </w:rPr>
        <w:t xml:space="preserve">الازدواج بين الشكل اللغوي </w:t>
      </w:r>
      <w:r>
        <w:rPr>
          <w:rFonts w:ascii="Simplified Arabic" w:hAnsi="Simplified Arabic" w:cs="Simplified Arabic" w:hint="cs"/>
          <w:sz w:val="32"/>
          <w:szCs w:val="32"/>
          <w:rtl/>
        </w:rPr>
        <w:t>المتميز بالسجع والبديع</w:t>
      </w:r>
      <w:r w:rsidRPr="00082CA9">
        <w:rPr>
          <w:rFonts w:ascii="Simplified Arabic" w:hAnsi="Simplified Arabic" w:cs="Simplified Arabic"/>
          <w:sz w:val="32"/>
          <w:szCs w:val="32"/>
          <w:rtl/>
        </w:rPr>
        <w:t xml:space="preserve"> و</w:t>
      </w:r>
      <w:r>
        <w:rPr>
          <w:rFonts w:ascii="Simplified Arabic" w:hAnsi="Simplified Arabic" w:cs="Simplified Arabic" w:hint="cs"/>
          <w:sz w:val="32"/>
          <w:szCs w:val="32"/>
          <w:rtl/>
        </w:rPr>
        <w:t xml:space="preserve">كذا </w:t>
      </w:r>
      <w:r>
        <w:rPr>
          <w:rFonts w:ascii="Simplified Arabic" w:hAnsi="Simplified Arabic" w:cs="Simplified Arabic"/>
          <w:sz w:val="32"/>
          <w:szCs w:val="32"/>
          <w:rtl/>
        </w:rPr>
        <w:t>المحتوى القائم على الم</w:t>
      </w:r>
      <w:bookmarkStart w:id="0" w:name="_GoBack"/>
      <w:bookmarkEnd w:id="0"/>
      <w:r>
        <w:rPr>
          <w:rFonts w:ascii="Simplified Arabic" w:hAnsi="Simplified Arabic" w:cs="Simplified Arabic"/>
          <w:sz w:val="32"/>
          <w:szCs w:val="32"/>
          <w:rtl/>
        </w:rPr>
        <w:t xml:space="preserve">كر </w:t>
      </w:r>
      <w:r>
        <w:rPr>
          <w:rFonts w:ascii="Simplified Arabic" w:hAnsi="Simplified Arabic" w:cs="Simplified Arabic" w:hint="cs"/>
          <w:sz w:val="32"/>
          <w:szCs w:val="32"/>
          <w:rtl/>
        </w:rPr>
        <w:t>ب</w:t>
      </w:r>
      <w:r>
        <w:rPr>
          <w:rFonts w:ascii="Simplified Arabic" w:hAnsi="Simplified Arabic" w:cs="Simplified Arabic"/>
          <w:sz w:val="32"/>
          <w:szCs w:val="32"/>
          <w:rtl/>
        </w:rPr>
        <w:t>خلق بنية سردية متماسكة</w:t>
      </w:r>
      <w:r w:rsidRPr="00082CA9">
        <w:rPr>
          <w:rFonts w:ascii="Simplified Arabic" w:hAnsi="Simplified Arabic" w:cs="Simplified Arabic"/>
          <w:sz w:val="32"/>
          <w:szCs w:val="32"/>
          <w:rtl/>
        </w:rPr>
        <w:t xml:space="preserve"> تقوم على التضاد بين الظاهر الاجتماعي (الفصاحة والثقافة) والباطن الوظيفي (الاستجداء</w:t>
      </w:r>
      <w:r>
        <w:rPr>
          <w:rFonts w:ascii="Simplified Arabic" w:hAnsi="Simplified Arabic" w:cs="Simplified Arabic" w:hint="cs"/>
          <w:sz w:val="32"/>
          <w:szCs w:val="32"/>
          <w:rtl/>
        </w:rPr>
        <w:t xml:space="preserve"> والتسول</w:t>
      </w:r>
      <w:r w:rsidRPr="00082CA9">
        <w:rPr>
          <w:rFonts w:ascii="Simplified Arabic" w:hAnsi="Simplified Arabic" w:cs="Simplified Arabic"/>
          <w:sz w:val="32"/>
          <w:szCs w:val="32"/>
          <w:rtl/>
        </w:rPr>
        <w:t xml:space="preserve">)، مما يجعل من المقامة نموذجاً </w:t>
      </w:r>
      <w:proofErr w:type="spellStart"/>
      <w:r w:rsidRPr="00082CA9">
        <w:rPr>
          <w:rFonts w:ascii="Simplified Arabic" w:hAnsi="Simplified Arabic" w:cs="Simplified Arabic"/>
          <w:sz w:val="32"/>
          <w:szCs w:val="32"/>
          <w:rtl/>
        </w:rPr>
        <w:t>سردياً</w:t>
      </w:r>
      <w:proofErr w:type="spellEnd"/>
      <w:r w:rsidRPr="00082CA9">
        <w:rPr>
          <w:rFonts w:ascii="Simplified Arabic" w:hAnsi="Simplified Arabic" w:cs="Simplified Arabic"/>
          <w:sz w:val="32"/>
          <w:szCs w:val="32"/>
          <w:rtl/>
        </w:rPr>
        <w:t xml:space="preserve"> فريداً يجمع بين الوظيفة الجمالية للغة والوظيفة الاجتماعية الناقدة</w:t>
      </w:r>
      <w:r>
        <w:t>.</w:t>
      </w:r>
    </w:p>
    <w:p w14:paraId="2298CFB5" w14:textId="77777777" w:rsidR="004E7C3E" w:rsidRPr="00082CA9" w:rsidRDefault="004E7C3E" w:rsidP="004E7C3E">
      <w:pPr>
        <w:jc w:val="mediumKashida"/>
        <w:rPr>
          <w:rFonts w:ascii="Simplified Arabic" w:hAnsi="Simplified Arabic" w:cs="Simplified Arabic"/>
          <w:b/>
          <w:bCs/>
          <w:sz w:val="32"/>
          <w:szCs w:val="32"/>
          <w:rtl/>
          <w:lang w:val="fr-FR" w:bidi="ar-TN"/>
        </w:rPr>
      </w:pPr>
    </w:p>
    <w:p w14:paraId="5B650DCC" w14:textId="77777777" w:rsidR="004E7C3E" w:rsidRPr="00901114" w:rsidRDefault="004E7C3E" w:rsidP="004E7C3E">
      <w:pPr>
        <w:jc w:val="mediumKashida"/>
        <w:rPr>
          <w:rFonts w:ascii="Simplified Arabic" w:hAnsi="Simplified Arabic" w:cs="Simplified Arabic"/>
          <w:b/>
          <w:bCs/>
          <w:sz w:val="32"/>
          <w:szCs w:val="32"/>
          <w:rtl/>
          <w:lang w:val="en-GB" w:bidi="ar-TN"/>
        </w:rPr>
      </w:pPr>
      <w:r w:rsidRPr="00901114">
        <w:rPr>
          <w:rFonts w:ascii="Simplified Arabic" w:hAnsi="Simplified Arabic" w:cs="Simplified Arabic"/>
          <w:b/>
          <w:bCs/>
          <w:sz w:val="32"/>
          <w:szCs w:val="32"/>
          <w:rtl/>
          <w:lang w:val="en-GB" w:bidi="ar-TN"/>
        </w:rPr>
        <w:lastRenderedPageBreak/>
        <w:t>أشهر المقامات</w:t>
      </w:r>
      <w:r>
        <w:rPr>
          <w:rFonts w:ascii="Simplified Arabic" w:hAnsi="Simplified Arabic" w:cs="Simplified Arabic" w:hint="cs"/>
          <w:b/>
          <w:bCs/>
          <w:sz w:val="32"/>
          <w:szCs w:val="32"/>
          <w:rtl/>
          <w:lang w:val="en-GB" w:bidi="ar-TN"/>
        </w:rPr>
        <w:t xml:space="preserve"> العربية</w:t>
      </w:r>
      <w:r w:rsidRPr="00901114">
        <w:rPr>
          <w:rFonts w:ascii="Simplified Arabic" w:hAnsi="Simplified Arabic" w:cs="Simplified Arabic"/>
          <w:b/>
          <w:bCs/>
          <w:sz w:val="32"/>
          <w:szCs w:val="32"/>
          <w:rtl/>
          <w:lang w:val="en-GB" w:bidi="ar-TN"/>
        </w:rPr>
        <w:t>:</w:t>
      </w:r>
    </w:p>
    <w:p w14:paraId="4ECF2A0B" w14:textId="77777777" w:rsidR="004E7C3E" w:rsidRPr="00481168" w:rsidRDefault="004E7C3E" w:rsidP="004E7C3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w:t>
      </w:r>
      <w:r w:rsidRPr="00481168">
        <w:rPr>
          <w:rFonts w:ascii="Simplified Arabic" w:hAnsi="Simplified Arabic" w:cs="Simplified Arabic"/>
          <w:sz w:val="32"/>
          <w:szCs w:val="32"/>
          <w:rtl/>
          <w:lang w:val="en-GB" w:bidi="ar-TN"/>
        </w:rPr>
        <w:t>المقامة البغدادية لبديع الزمان الهمذاني، تتناول مقاماته موضوع الحيلة والاحتيال والتسول التي يعرض لها من خلال "عيسى بن هشام" بوصفه راوي الأحداث التي تتحرك مغامراتها في أسواق بغداد بغية الحصول على الطعام وكذا بطلها الي تتحور حوله القصة.</w:t>
      </w:r>
    </w:p>
    <w:p w14:paraId="7C8CC727" w14:textId="77777777" w:rsidR="004E7C3E" w:rsidRPr="00481168" w:rsidRDefault="004E7C3E" w:rsidP="004E7C3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w:t>
      </w:r>
      <w:r w:rsidRPr="00481168">
        <w:rPr>
          <w:rFonts w:ascii="Simplified Arabic" w:hAnsi="Simplified Arabic" w:cs="Simplified Arabic"/>
          <w:sz w:val="32"/>
          <w:szCs w:val="32"/>
          <w:rtl/>
          <w:lang w:val="en-GB" w:bidi="ar-TN"/>
        </w:rPr>
        <w:t>مقامات الحريري وسميت باسمه نسبة له،</w:t>
      </w:r>
      <w:r>
        <w:rPr>
          <w:rFonts w:ascii="Simplified Arabic" w:hAnsi="Simplified Arabic" w:cs="Simplified Arabic" w:hint="cs"/>
          <w:sz w:val="32"/>
          <w:szCs w:val="32"/>
          <w:rtl/>
          <w:lang w:val="en-GB" w:bidi="ar-TN"/>
        </w:rPr>
        <w:t xml:space="preserve"> </w:t>
      </w:r>
      <w:r w:rsidRPr="00481168">
        <w:rPr>
          <w:rFonts w:ascii="Simplified Arabic" w:hAnsi="Simplified Arabic" w:cs="Simplified Arabic"/>
          <w:sz w:val="32"/>
          <w:szCs w:val="32"/>
          <w:rtl/>
          <w:lang w:val="en-GB" w:bidi="ar-TN"/>
        </w:rPr>
        <w:t xml:space="preserve">تتمحور معظم مقاماته حول ابتزاز المال عن طريق الحيلة من خلال مغامرات بطلها أبو زيد السروجي وراويها </w:t>
      </w:r>
    </w:p>
    <w:p w14:paraId="59FF3082" w14:textId="77777777" w:rsidR="004E7C3E" w:rsidRPr="00481168" w:rsidRDefault="004E7C3E" w:rsidP="00BD1D28">
      <w:pPr>
        <w:jc w:val="mediumKashida"/>
        <w:rPr>
          <w:rFonts w:ascii="Simplified Arabic" w:hAnsi="Simplified Arabic" w:cs="Simplified Arabic"/>
          <w:b/>
          <w:bCs/>
          <w:sz w:val="32"/>
          <w:szCs w:val="32"/>
          <w:rtl/>
          <w:lang w:val="fr-FR" w:bidi="ar-TN"/>
        </w:rPr>
      </w:pPr>
    </w:p>
    <w:sectPr w:rsidR="004E7C3E"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38D3F" w14:textId="77777777" w:rsidR="009B3296" w:rsidRDefault="009B3296" w:rsidP="00D13693">
      <w:pPr>
        <w:spacing w:after="0" w:line="240" w:lineRule="auto"/>
      </w:pPr>
      <w:r>
        <w:separator/>
      </w:r>
    </w:p>
  </w:endnote>
  <w:endnote w:type="continuationSeparator" w:id="0">
    <w:p w14:paraId="2B76E7B0" w14:textId="77777777" w:rsidR="009B3296" w:rsidRDefault="009B3296"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012F9A" w14:textId="77777777" w:rsidR="009B3296" w:rsidRDefault="009B3296" w:rsidP="00D13693">
      <w:pPr>
        <w:spacing w:after="0" w:line="240" w:lineRule="auto"/>
      </w:pPr>
      <w:r>
        <w:separator/>
      </w:r>
    </w:p>
  </w:footnote>
  <w:footnote w:type="continuationSeparator" w:id="0">
    <w:p w14:paraId="681D98A2" w14:textId="77777777" w:rsidR="009B3296" w:rsidRDefault="009B3296" w:rsidP="00D13693">
      <w:pPr>
        <w:spacing w:after="0" w:line="240" w:lineRule="auto"/>
      </w:pPr>
      <w:r>
        <w:continuationSeparator/>
      </w:r>
    </w:p>
  </w:footnote>
  <w:footnote w:id="1">
    <w:p w14:paraId="3FC1173B" w14:textId="77777777" w:rsidR="004E7C3E" w:rsidRPr="00805B79" w:rsidRDefault="004E7C3E" w:rsidP="004E7C3E">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-محمود عبد الرحيم صالح، فنون النثر في الأدب العباسي، دار جرير </w:t>
      </w:r>
      <w:proofErr w:type="spellStart"/>
      <w:r w:rsidRPr="00805B79">
        <w:rPr>
          <w:rFonts w:ascii="Simplified Arabic" w:hAnsi="Simplified Arabic" w:cs="Simplified Arabic"/>
          <w:sz w:val="24"/>
          <w:szCs w:val="24"/>
          <w:rtl/>
        </w:rPr>
        <w:t>للنشروالتوزيع</w:t>
      </w:r>
      <w:proofErr w:type="spellEnd"/>
      <w:r w:rsidRPr="00805B79">
        <w:rPr>
          <w:rFonts w:ascii="Simplified Arabic" w:hAnsi="Simplified Arabic" w:cs="Simplified Arabic"/>
          <w:sz w:val="24"/>
          <w:szCs w:val="24"/>
          <w:rtl/>
        </w:rPr>
        <w:t>، الطبعة الأولى، 2010، ص 167.</w:t>
      </w:r>
    </w:p>
  </w:footnote>
  <w:footnote w:id="2">
    <w:p w14:paraId="6DA51A35" w14:textId="77777777" w:rsidR="004E7C3E" w:rsidRPr="00805B79" w:rsidRDefault="004E7C3E" w:rsidP="004E7C3E">
      <w:pPr>
        <w:pStyle w:val="Notedebasdepage"/>
        <w:rPr>
          <w:rFonts w:ascii="Simplified Arabic" w:hAnsi="Simplified Arabic" w:cs="Simplified Arabic"/>
          <w:sz w:val="24"/>
          <w:szCs w:val="24"/>
          <w:lang w:bidi="ar-TN"/>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w:t>
      </w:r>
      <w:r w:rsidRPr="00805B79">
        <w:rPr>
          <w:rFonts w:ascii="Simplified Arabic" w:hAnsi="Simplified Arabic" w:cs="Simplified Arabic"/>
          <w:sz w:val="24"/>
          <w:szCs w:val="24"/>
          <w:rtl/>
          <w:lang w:bidi="ar-TN"/>
        </w:rPr>
        <w:t xml:space="preserve">-عبد القادر </w:t>
      </w:r>
      <w:proofErr w:type="spellStart"/>
      <w:r w:rsidRPr="00805B79">
        <w:rPr>
          <w:rFonts w:ascii="Simplified Arabic" w:hAnsi="Simplified Arabic" w:cs="Simplified Arabic"/>
          <w:sz w:val="24"/>
          <w:szCs w:val="24"/>
          <w:rtl/>
          <w:lang w:bidi="ar-TN"/>
        </w:rPr>
        <w:t>نويوية</w:t>
      </w:r>
      <w:proofErr w:type="spellEnd"/>
      <w:r w:rsidRPr="00805B79">
        <w:rPr>
          <w:rFonts w:ascii="Simplified Arabic" w:hAnsi="Simplified Arabic" w:cs="Simplified Arabic"/>
          <w:sz w:val="24"/>
          <w:szCs w:val="24"/>
          <w:rtl/>
          <w:lang w:bidi="ar-TN"/>
        </w:rPr>
        <w:t xml:space="preserve">، قراءة التراث السردي العربي، تجربة عبد الفتاح </w:t>
      </w:r>
      <w:proofErr w:type="spellStart"/>
      <w:r w:rsidRPr="00805B79">
        <w:rPr>
          <w:rFonts w:ascii="Simplified Arabic" w:hAnsi="Simplified Arabic" w:cs="Simplified Arabic"/>
          <w:sz w:val="24"/>
          <w:szCs w:val="24"/>
          <w:rtl/>
          <w:lang w:bidi="ar-TN"/>
        </w:rPr>
        <w:t>كيليطو</w:t>
      </w:r>
      <w:proofErr w:type="spellEnd"/>
      <w:r w:rsidRPr="00805B79">
        <w:rPr>
          <w:rFonts w:ascii="Simplified Arabic" w:hAnsi="Simplified Arabic" w:cs="Simplified Arabic"/>
          <w:sz w:val="24"/>
          <w:szCs w:val="24"/>
          <w:rtl/>
          <w:lang w:bidi="ar-TN"/>
        </w:rPr>
        <w:t>، ابن الندين للنشر والتوزيع، دار روافد الثقافية، 2012، ص 38.</w:t>
      </w:r>
    </w:p>
  </w:footnote>
  <w:footnote w:id="3">
    <w:p w14:paraId="71EB530B" w14:textId="65480F59" w:rsidR="004E7C3E" w:rsidRPr="00805B79" w:rsidRDefault="004E7C3E" w:rsidP="009C4C16">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w:t>
      </w:r>
      <w:r w:rsidR="009C4C16" w:rsidRPr="009C4C16">
        <w:rPr>
          <w:rFonts w:ascii="Simplified Arabic" w:hAnsi="Simplified Arabic" w:cs="Simplified Arabic"/>
          <w:sz w:val="24"/>
          <w:szCs w:val="24"/>
          <w:rtl/>
          <w:lang w:bidi="ar-TN"/>
        </w:rPr>
        <w:t xml:space="preserve"> </w:t>
      </w:r>
      <w:r w:rsidR="009C4C16" w:rsidRPr="00805B79">
        <w:rPr>
          <w:rFonts w:ascii="Simplified Arabic" w:hAnsi="Simplified Arabic" w:cs="Simplified Arabic"/>
          <w:sz w:val="24"/>
          <w:szCs w:val="24"/>
          <w:rtl/>
          <w:lang w:bidi="ar-TN"/>
        </w:rPr>
        <w:t xml:space="preserve">عبد القادر </w:t>
      </w:r>
      <w:proofErr w:type="spellStart"/>
      <w:r w:rsidR="009C4C16" w:rsidRPr="00805B79">
        <w:rPr>
          <w:rFonts w:ascii="Simplified Arabic" w:hAnsi="Simplified Arabic" w:cs="Simplified Arabic"/>
          <w:sz w:val="24"/>
          <w:szCs w:val="24"/>
          <w:rtl/>
          <w:lang w:bidi="ar-TN"/>
        </w:rPr>
        <w:t>نويوية</w:t>
      </w:r>
      <w:proofErr w:type="spellEnd"/>
      <w:r w:rsidR="009C4C16" w:rsidRPr="00805B79">
        <w:rPr>
          <w:rFonts w:ascii="Simplified Arabic" w:hAnsi="Simplified Arabic" w:cs="Simplified Arabic"/>
          <w:sz w:val="24"/>
          <w:szCs w:val="24"/>
          <w:rtl/>
          <w:lang w:bidi="ar-TN"/>
        </w:rPr>
        <w:t>، قراءة التراث السردي العربي</w:t>
      </w:r>
      <w:r w:rsidR="009C4C16">
        <w:rPr>
          <w:rFonts w:ascii="Simplified Arabic" w:hAnsi="Simplified Arabic" w:cs="Simplified Arabic" w:hint="cs"/>
          <w:sz w:val="24"/>
          <w:szCs w:val="24"/>
          <w:rtl/>
          <w:lang w:bidi="ar-TN"/>
        </w:rPr>
        <w:t>، مرجع سابق</w:t>
      </w:r>
      <w:r w:rsidRPr="00805B79">
        <w:rPr>
          <w:rFonts w:ascii="Simplified Arabic" w:hAnsi="Simplified Arabic" w:cs="Simplified Arabic"/>
          <w:sz w:val="24"/>
          <w:szCs w:val="24"/>
          <w:rtl/>
        </w:rPr>
        <w:t xml:space="preserve">، ص 245              </w:t>
      </w:r>
    </w:p>
  </w:footnote>
  <w:footnote w:id="4">
    <w:p w14:paraId="6BDDCD7F" w14:textId="77777777" w:rsidR="004E7C3E" w:rsidRPr="00805B79" w:rsidRDefault="004E7C3E" w:rsidP="004E7C3E">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-المرجع نفسه، ص 170.</w:t>
      </w:r>
    </w:p>
  </w:footnote>
  <w:footnote w:id="5">
    <w:p w14:paraId="37216EC2" w14:textId="77777777" w:rsidR="004E7C3E" w:rsidRPr="00805B79" w:rsidRDefault="004E7C3E" w:rsidP="004E7C3E">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-ينظر، السعيد الورقي، اتجاهات الرواية العربية المعاصرة، ص 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2EFE"/>
    <w:rsid w:val="002A4E07"/>
    <w:rsid w:val="002B0C7A"/>
    <w:rsid w:val="002B319B"/>
    <w:rsid w:val="002B4B56"/>
    <w:rsid w:val="002C2855"/>
    <w:rsid w:val="002D00B2"/>
    <w:rsid w:val="002D03F0"/>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91561"/>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567B0"/>
    <w:rsid w:val="006641F3"/>
    <w:rsid w:val="00666563"/>
    <w:rsid w:val="00675457"/>
    <w:rsid w:val="00684199"/>
    <w:rsid w:val="00684F24"/>
    <w:rsid w:val="0068660E"/>
    <w:rsid w:val="006A2DB6"/>
    <w:rsid w:val="006A44DD"/>
    <w:rsid w:val="006A4FC3"/>
    <w:rsid w:val="006A6CAC"/>
    <w:rsid w:val="006B0C45"/>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A0B31"/>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7129"/>
    <w:rsid w:val="00927E35"/>
    <w:rsid w:val="00931935"/>
    <w:rsid w:val="00936B39"/>
    <w:rsid w:val="00953543"/>
    <w:rsid w:val="009611F0"/>
    <w:rsid w:val="00962BF7"/>
    <w:rsid w:val="009634D9"/>
    <w:rsid w:val="009643FF"/>
    <w:rsid w:val="00966168"/>
    <w:rsid w:val="00971361"/>
    <w:rsid w:val="00972C10"/>
    <w:rsid w:val="00975291"/>
    <w:rsid w:val="00976693"/>
    <w:rsid w:val="0097705A"/>
    <w:rsid w:val="009833CB"/>
    <w:rsid w:val="00985B20"/>
    <w:rsid w:val="009928E5"/>
    <w:rsid w:val="00993E11"/>
    <w:rsid w:val="00995FFD"/>
    <w:rsid w:val="009A0414"/>
    <w:rsid w:val="009A3445"/>
    <w:rsid w:val="009A6917"/>
    <w:rsid w:val="009B3296"/>
    <w:rsid w:val="009B50EA"/>
    <w:rsid w:val="009B6645"/>
    <w:rsid w:val="009C228C"/>
    <w:rsid w:val="009C4C16"/>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22CD"/>
    <w:rsid w:val="00A85A6C"/>
    <w:rsid w:val="00A91856"/>
    <w:rsid w:val="00A91DBA"/>
    <w:rsid w:val="00A939E9"/>
    <w:rsid w:val="00A947B9"/>
    <w:rsid w:val="00A95321"/>
    <w:rsid w:val="00A96A27"/>
    <w:rsid w:val="00A97AC5"/>
    <w:rsid w:val="00AA44F1"/>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514D3-574B-4053-89BF-F2D5B752C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3</Pages>
  <Words>450</Words>
  <Characters>2475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166</cp:revision>
  <dcterms:created xsi:type="dcterms:W3CDTF">2023-12-10T10:52:00Z</dcterms:created>
  <dcterms:modified xsi:type="dcterms:W3CDTF">2026-01-20T18:36:00Z</dcterms:modified>
</cp:coreProperties>
</file>