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760188" w14:textId="1F028AB9" w:rsidR="002566DC" w:rsidRPr="00481168" w:rsidRDefault="002566DC" w:rsidP="002566DC">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 xml:space="preserve">المحاضرة الأولى- </w:t>
      </w:r>
      <w:r w:rsidR="004B0C7A">
        <w:rPr>
          <w:rFonts w:ascii="Simplified Arabic" w:hAnsi="Simplified Arabic" w:cs="Simplified Arabic" w:hint="cs"/>
          <w:b/>
          <w:bCs/>
          <w:sz w:val="32"/>
          <w:szCs w:val="32"/>
          <w:rtl/>
          <w:lang w:val="en-GB" w:bidi="ar-TN"/>
        </w:rPr>
        <w:t xml:space="preserve">مفهوم </w:t>
      </w:r>
      <w:bookmarkStart w:id="0" w:name="_GoBack"/>
      <w:bookmarkEnd w:id="0"/>
      <w:r w:rsidRPr="00481168">
        <w:rPr>
          <w:rFonts w:ascii="Simplified Arabic" w:hAnsi="Simplified Arabic" w:cs="Simplified Arabic"/>
          <w:b/>
          <w:bCs/>
          <w:sz w:val="32"/>
          <w:szCs w:val="32"/>
          <w:rtl/>
          <w:lang w:val="en-GB" w:bidi="ar-TN"/>
        </w:rPr>
        <w:t>الجنس الأدبي: (الجنس النوع)</w:t>
      </w:r>
    </w:p>
    <w:p w14:paraId="27256D77" w14:textId="77777777" w:rsidR="002566DC" w:rsidRDefault="002566DC" w:rsidP="002566DC">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أولا-تعريف الأجناس الأدبية</w:t>
      </w:r>
    </w:p>
    <w:p w14:paraId="61E52467" w14:textId="77777777" w:rsidR="002566DC" w:rsidRDefault="002566DC" w:rsidP="002566DC">
      <w:pPr>
        <w:jc w:val="mediumKashida"/>
        <w:rPr>
          <w:rFonts w:ascii="Simplified Arabic" w:hAnsi="Simplified Arabic" w:cs="Simplified Arabic"/>
          <w:sz w:val="32"/>
          <w:szCs w:val="32"/>
          <w:rtl/>
          <w:lang w:val="en-GB" w:bidi="ar-TN"/>
        </w:rPr>
      </w:pPr>
      <w:r w:rsidRPr="00185C7F">
        <w:rPr>
          <w:rFonts w:ascii="Simplified Arabic" w:hAnsi="Simplified Arabic" w:cs="Simplified Arabic" w:hint="cs"/>
          <w:sz w:val="32"/>
          <w:szCs w:val="32"/>
          <w:rtl/>
          <w:lang w:val="en-GB" w:bidi="ar-TN"/>
        </w:rPr>
        <w:t xml:space="preserve"> يظل الأدب عصيا على التصنيف والمعيارية التي تعمد إلى </w:t>
      </w:r>
      <w:proofErr w:type="spellStart"/>
      <w:r w:rsidRPr="00185C7F">
        <w:rPr>
          <w:rFonts w:ascii="Simplified Arabic" w:hAnsi="Simplified Arabic" w:cs="Simplified Arabic" w:hint="cs"/>
          <w:sz w:val="32"/>
          <w:szCs w:val="32"/>
          <w:rtl/>
          <w:lang w:val="en-GB" w:bidi="ar-TN"/>
        </w:rPr>
        <w:t>موضعته</w:t>
      </w:r>
      <w:proofErr w:type="spellEnd"/>
      <w:r w:rsidRPr="00185C7F">
        <w:rPr>
          <w:rFonts w:ascii="Simplified Arabic" w:hAnsi="Simplified Arabic" w:cs="Simplified Arabic" w:hint="cs"/>
          <w:sz w:val="32"/>
          <w:szCs w:val="32"/>
          <w:rtl/>
          <w:lang w:val="en-GB" w:bidi="ar-TN"/>
        </w:rPr>
        <w:t xml:space="preserve"> وإخضاعه لشروط خاصة تتبناها هذه الدائرة أو تلك وهو ما يحيل إلى جملة من الإشكالات التي تقف أمام تأسيس نظرية شاملة للأجناس الأدبية، وعلى الرغم من هذه العقبات إلا أن الجهود المندرجة في نظرية الأدب من الفترة الكلاسيكية إلى المعاصرة قد وقفت على جملة من المواضعات أو الطروحات المندرجة في إطار مفهوم الجنس الأدبي وكذا التمييز بينه وبين النوع الأدبي، حيث وقفت هذه المقاربات على أن المقصود </w:t>
      </w:r>
      <w:r w:rsidRPr="00185C7F">
        <w:rPr>
          <w:rFonts w:ascii="Simplified Arabic" w:hAnsi="Simplified Arabic" w:cs="Simplified Arabic"/>
          <w:sz w:val="32"/>
          <w:szCs w:val="32"/>
          <w:rtl/>
          <w:lang w:val="en-GB" w:bidi="ar-TN"/>
        </w:rPr>
        <w:t xml:space="preserve">بالأجناس الأدبية </w:t>
      </w:r>
      <w:r w:rsidRPr="00185C7F">
        <w:rPr>
          <w:rFonts w:ascii="Simplified Arabic" w:hAnsi="Simplified Arabic" w:cs="Simplified Arabic" w:hint="cs"/>
          <w:sz w:val="32"/>
          <w:szCs w:val="32"/>
          <w:rtl/>
          <w:lang w:val="en-GB" w:bidi="ar-TN"/>
        </w:rPr>
        <w:t xml:space="preserve">هو </w:t>
      </w:r>
      <w:r w:rsidRPr="00185C7F">
        <w:rPr>
          <w:rFonts w:ascii="Simplified Arabic" w:hAnsi="Simplified Arabic" w:cs="Simplified Arabic"/>
          <w:sz w:val="32"/>
          <w:szCs w:val="32"/>
          <w:rtl/>
          <w:lang w:val="en-GB" w:bidi="ar-TN"/>
        </w:rPr>
        <w:t>القوالب الفنية العامة للأدب بوصفه أجناسا أدبية تختلف</w:t>
      </w:r>
      <w:r w:rsidRPr="00481168">
        <w:rPr>
          <w:rFonts w:ascii="Simplified Arabic" w:hAnsi="Simplified Arabic" w:cs="Simplified Arabic"/>
          <w:sz w:val="32"/>
          <w:szCs w:val="32"/>
          <w:rtl/>
          <w:lang w:val="en-GB" w:bidi="ar-TN"/>
        </w:rPr>
        <w:t xml:space="preserve"> فيما بينها </w:t>
      </w:r>
      <w:r>
        <w:rPr>
          <w:rFonts w:ascii="Simplified Arabic" w:hAnsi="Simplified Arabic" w:cs="Simplified Arabic" w:hint="cs"/>
          <w:sz w:val="32"/>
          <w:szCs w:val="32"/>
          <w:rtl/>
          <w:lang w:val="en-GB" w:bidi="ar-TN"/>
        </w:rPr>
        <w:t>استنادا إلى بنياتها التكوينية من جهة وموضوعاتها التي تشتغل عليها من جهة أخرى</w:t>
      </w:r>
      <w:r>
        <w:rPr>
          <w:rStyle w:val="Appelnotedebasdep"/>
          <w:rFonts w:ascii="Simplified Arabic" w:hAnsi="Simplified Arabic" w:cs="Simplified Arabic"/>
          <w:sz w:val="32"/>
          <w:szCs w:val="32"/>
          <w:rtl/>
          <w:lang w:val="en-GB" w:bidi="ar-TN"/>
        </w:rPr>
        <w:footnoteReference w:id="1"/>
      </w:r>
      <w:r>
        <w:rPr>
          <w:rFonts w:ascii="Simplified Arabic" w:hAnsi="Simplified Arabic" w:cs="Simplified Arabic" w:hint="cs"/>
          <w:sz w:val="32"/>
          <w:szCs w:val="32"/>
          <w:rtl/>
          <w:lang w:val="en-GB" w:bidi="ar-TN"/>
        </w:rPr>
        <w:t>.</w:t>
      </w:r>
    </w:p>
    <w:p w14:paraId="0F49C52A" w14:textId="3DDFB512" w:rsidR="002566DC" w:rsidRPr="0018738B" w:rsidRDefault="002566DC" w:rsidP="002566DC">
      <w:pPr>
        <w:jc w:val="mediumKashida"/>
        <w:rPr>
          <w:rFonts w:ascii="Simplified Arabic" w:hAnsi="Simplified Arabic" w:cs="Simplified Arabic"/>
          <w:sz w:val="32"/>
          <w:szCs w:val="32"/>
          <w:rtl/>
          <w:lang w:val="en-GB" w:bidi="ar-TN"/>
        </w:rPr>
      </w:pPr>
      <w:r w:rsidRPr="00362965">
        <w:rPr>
          <w:rFonts w:ascii="Simplified Arabic" w:hAnsi="Simplified Arabic" w:cs="Simplified Arabic" w:hint="cs"/>
          <w:sz w:val="32"/>
          <w:szCs w:val="32"/>
          <w:rtl/>
          <w:lang w:val="en-GB" w:bidi="ar-TN"/>
        </w:rPr>
        <w:t xml:space="preserve">وفي سياق الاشتغال على تحديد مفهوم الجنس الأدبي الذي يقترن من خلاله تحديد بعض القضايا المندرجة في سياق هذه النظرية، ينبغي الربط بين معنى اللفظ في المعاجم اللغوية وأبعاده الدلالية في ضوء هذه النظرية، وعليه فالجنس هو </w:t>
      </w:r>
      <w:r w:rsidRPr="00362965">
        <w:rPr>
          <w:rFonts w:ascii="Simplified Arabic" w:hAnsi="Simplified Arabic" w:cs="Simplified Arabic"/>
          <w:sz w:val="32"/>
          <w:szCs w:val="32"/>
          <w:rtl/>
          <w:lang w:val="en-GB" w:bidi="ar-TN"/>
        </w:rPr>
        <w:t>«</w:t>
      </w:r>
      <w:r w:rsidRPr="00362965">
        <w:rPr>
          <w:rFonts w:ascii="Simplified Arabic" w:hAnsi="Simplified Arabic" w:cs="Simplified Arabic" w:hint="cs"/>
          <w:sz w:val="32"/>
          <w:szCs w:val="32"/>
          <w:rtl/>
          <w:lang w:val="en-GB" w:bidi="ar-TN"/>
        </w:rPr>
        <w:t>الضرب من كل شيء</w:t>
      </w:r>
      <w:r w:rsidRPr="00362965">
        <w:rPr>
          <w:rFonts w:ascii="Simplified Arabic" w:hAnsi="Simplified Arabic" w:cs="Simplified Arabic"/>
          <w:sz w:val="32"/>
          <w:szCs w:val="32"/>
          <w:rtl/>
          <w:lang w:val="en-GB" w:bidi="ar-TN"/>
        </w:rPr>
        <w:t>»</w:t>
      </w:r>
      <w:r w:rsidRPr="00362965">
        <w:rPr>
          <w:rStyle w:val="Appelnotedebasdep"/>
          <w:rFonts w:ascii="Simplified Arabic" w:hAnsi="Simplified Arabic" w:cs="Simplified Arabic"/>
          <w:sz w:val="32"/>
          <w:szCs w:val="32"/>
          <w:rtl/>
          <w:lang w:val="en-GB" w:bidi="ar-TN"/>
        </w:rPr>
        <w:footnoteReference w:id="2"/>
      </w:r>
      <w:r w:rsidRPr="00362965">
        <w:rPr>
          <w:rFonts w:ascii="Simplified Arabic" w:hAnsi="Simplified Arabic" w:cs="Simplified Arabic" w:hint="cs"/>
          <w:sz w:val="32"/>
          <w:szCs w:val="32"/>
          <w:rtl/>
          <w:lang w:val="en-GB" w:bidi="ar-TN"/>
        </w:rPr>
        <w:t xml:space="preserve">، أو هو </w:t>
      </w:r>
      <w:r w:rsidRPr="00362965">
        <w:rPr>
          <w:rFonts w:ascii="Simplified Arabic" w:hAnsi="Simplified Arabic" w:cs="Simplified Arabic"/>
          <w:sz w:val="32"/>
          <w:szCs w:val="32"/>
          <w:rtl/>
          <w:lang w:val="en-GB" w:bidi="ar-TN"/>
        </w:rPr>
        <w:t>«</w:t>
      </w:r>
      <w:r w:rsidRPr="00362965">
        <w:rPr>
          <w:rFonts w:ascii="Simplified Arabic" w:hAnsi="Simplified Arabic" w:cs="Simplified Arabic" w:hint="cs"/>
          <w:sz w:val="32"/>
          <w:szCs w:val="32"/>
          <w:rtl/>
          <w:lang w:val="en-GB" w:bidi="ar-TN"/>
        </w:rPr>
        <w:t>كل ضرب من الشيء</w:t>
      </w:r>
      <w:r w:rsidRPr="00362965">
        <w:rPr>
          <w:rFonts w:ascii="Simplified Arabic" w:hAnsi="Simplified Arabic" w:cs="Simplified Arabic"/>
          <w:sz w:val="32"/>
          <w:szCs w:val="32"/>
          <w:rtl/>
          <w:lang w:val="en-GB" w:bidi="ar-TN"/>
        </w:rPr>
        <w:t>»</w:t>
      </w:r>
      <w:r w:rsidRPr="00362965">
        <w:rPr>
          <w:rStyle w:val="Appelnotedebasdep"/>
          <w:rFonts w:ascii="Simplified Arabic" w:hAnsi="Simplified Arabic" w:cs="Simplified Arabic"/>
          <w:sz w:val="32"/>
          <w:szCs w:val="32"/>
          <w:rtl/>
          <w:lang w:val="en-GB" w:bidi="ar-TN"/>
        </w:rPr>
        <w:footnoteReference w:id="3"/>
      </w:r>
      <w:r w:rsidRPr="00362965">
        <w:rPr>
          <w:rFonts w:ascii="Simplified Arabic" w:hAnsi="Simplified Arabic" w:cs="Simplified Arabic" w:hint="cs"/>
          <w:sz w:val="32"/>
          <w:szCs w:val="32"/>
          <w:rtl/>
          <w:lang w:val="en-GB" w:bidi="ar-TN"/>
        </w:rPr>
        <w:t xml:space="preserve"> حسب المعجم التراثية والحديثة التي وقفت على نوع من الانسجام في تخريج المعنى، وهو ما يتوافق من جانب آخر مع الأبعاد الدلالية التي يتضمنها المصطلح في رحلة تمثيله لنظرية التجنيس في الأدب بوصفه خانات تصنف في إطارها النصوص الأدبية</w:t>
      </w:r>
    </w:p>
    <w:p w14:paraId="1C1DA1B8" w14:textId="4A32461C" w:rsidR="002566DC" w:rsidRPr="00481168" w:rsidRDefault="002566DC" w:rsidP="002566DC">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إن</w:t>
      </w:r>
      <w:r>
        <w:rPr>
          <w:rFonts w:ascii="Simplified Arabic" w:hAnsi="Simplified Arabic" w:cs="Simplified Arabic"/>
          <w:sz w:val="32"/>
          <w:szCs w:val="32"/>
          <w:lang w:val="en-GB" w:bidi="ar-TN"/>
        </w:rPr>
        <w:t xml:space="preserve">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الأجناس الأدبية فيما يتعلق بالقراء أنساق من الأعراف والتوقعات؛ فبمعرفة ما إذا كنا نقرأ قصة بوليسية أو قصة بطولية، قصيدة غنائية أو تراجيديا، نحتاط لأشياء مختلفة ونقوم بافتراضات عما سيكون له مغزاه</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4"/>
      </w:r>
      <w:r>
        <w:rPr>
          <w:rFonts w:ascii="Simplified Arabic" w:hAnsi="Simplified Arabic" w:cs="Simplified Arabic" w:hint="cs"/>
          <w:sz w:val="32"/>
          <w:szCs w:val="32"/>
          <w:rtl/>
          <w:lang w:val="en-GB" w:bidi="ar-TN"/>
        </w:rPr>
        <w:t xml:space="preserve"> لأنها تشكل ما يمكن أن </w:t>
      </w:r>
      <w:r>
        <w:rPr>
          <w:rFonts w:ascii="Simplified Arabic" w:hAnsi="Simplified Arabic" w:cs="Simplified Arabic" w:hint="cs"/>
          <w:sz w:val="32"/>
          <w:szCs w:val="32"/>
          <w:rtl/>
          <w:lang w:val="en-GB" w:bidi="ar-TN"/>
        </w:rPr>
        <w:lastRenderedPageBreak/>
        <w:t xml:space="preserve">نطلق عليه البنيات التوجيهية التي تعين القارئ على اقتحام هذه الأجناس والدخول معها في نوع من العلاقة التفاعلية في إنتاج المعنى استنادا إلى ما </w:t>
      </w:r>
      <w:proofErr w:type="spellStart"/>
      <w:r>
        <w:rPr>
          <w:rFonts w:ascii="Simplified Arabic" w:hAnsi="Simplified Arabic" w:cs="Simplified Arabic" w:hint="cs"/>
          <w:sz w:val="32"/>
          <w:szCs w:val="32"/>
          <w:rtl/>
          <w:lang w:val="en-GB" w:bidi="ar-TN"/>
        </w:rPr>
        <w:t>يقتضيه</w:t>
      </w:r>
      <w:proofErr w:type="spellEnd"/>
      <w:r>
        <w:rPr>
          <w:rFonts w:ascii="Simplified Arabic" w:hAnsi="Simplified Arabic" w:cs="Simplified Arabic" w:hint="cs"/>
          <w:sz w:val="32"/>
          <w:szCs w:val="32"/>
          <w:rtl/>
          <w:lang w:val="en-GB" w:bidi="ar-TN"/>
        </w:rPr>
        <w:t xml:space="preserve"> هذا الجنس أو النوع من آليات الخطاب</w:t>
      </w:r>
      <w:r w:rsidRPr="00481168">
        <w:rPr>
          <w:rFonts w:ascii="Simplified Arabic" w:hAnsi="Simplified Arabic" w:cs="Simplified Arabic"/>
          <w:sz w:val="32"/>
          <w:szCs w:val="32"/>
          <w:rtl/>
          <w:lang w:val="en-GB" w:bidi="ar-TN"/>
        </w:rPr>
        <w:t xml:space="preserve">، ثم يتسع التعدد المصطلحي ليشمل ألفاظ أخرى يراد بها المعنى ذاته أي تصنيف النصوص وربطها بعائلات خاصة، ومن بين هذه المصطلحات: </w:t>
      </w:r>
    </w:p>
    <w:p w14:paraId="37D1D1EE" w14:textId="77777777" w:rsidR="002566DC" w:rsidRPr="00481168" w:rsidRDefault="002566DC" w:rsidP="002566DC">
      <w:pPr>
        <w:jc w:val="mediumKashida"/>
        <w:rPr>
          <w:rFonts w:ascii="Simplified Arabic" w:hAnsi="Simplified Arabic" w:cs="Simplified Arabic"/>
          <w:sz w:val="32"/>
          <w:szCs w:val="32"/>
          <w:lang w:val="en-GB" w:bidi="ar-TN"/>
        </w:rPr>
      </w:pPr>
      <w:r w:rsidRPr="00481168">
        <w:rPr>
          <w:rFonts w:ascii="Simplified Arabic" w:hAnsi="Simplified Arabic" w:cs="Simplified Arabic"/>
          <w:sz w:val="32"/>
          <w:szCs w:val="32"/>
          <w:rtl/>
          <w:lang w:val="en-GB" w:bidi="ar-TN"/>
        </w:rPr>
        <w:t xml:space="preserve">الجنس، </w:t>
      </w:r>
      <w:r w:rsidRPr="00481168">
        <w:rPr>
          <w:rFonts w:ascii="Simplified Arabic" w:hAnsi="Simplified Arabic" w:cs="Simplified Arabic"/>
          <w:sz w:val="32"/>
          <w:szCs w:val="32"/>
          <w:lang w:val="fr-FR" w:bidi="ar-TN"/>
        </w:rPr>
        <w:t>genre</w:t>
      </w:r>
      <w:r w:rsidRPr="00481168">
        <w:rPr>
          <w:rFonts w:ascii="Simplified Arabic" w:hAnsi="Simplified Arabic" w:cs="Simplified Arabic"/>
          <w:sz w:val="32"/>
          <w:szCs w:val="32"/>
          <w:rtl/>
          <w:lang w:val="en-GB" w:bidi="ar-TN"/>
        </w:rPr>
        <w:t xml:space="preserve">النوع </w:t>
      </w:r>
      <w:proofErr w:type="spellStart"/>
      <w:r w:rsidRPr="00481168">
        <w:rPr>
          <w:rFonts w:ascii="Simplified Arabic" w:hAnsi="Simplified Arabic" w:cs="Simplified Arabic"/>
          <w:sz w:val="32"/>
          <w:szCs w:val="32"/>
          <w:lang w:val="en-GB" w:bidi="ar-TN"/>
        </w:rPr>
        <w:t>espece</w:t>
      </w:r>
      <w:proofErr w:type="spellEnd"/>
      <w:r w:rsidRPr="00481168">
        <w:rPr>
          <w:rFonts w:ascii="Simplified Arabic" w:hAnsi="Simplified Arabic" w:cs="Simplified Arabic"/>
          <w:sz w:val="32"/>
          <w:szCs w:val="32"/>
          <w:rtl/>
          <w:lang w:val="en-GB" w:bidi="ar-TN"/>
        </w:rPr>
        <w:t xml:space="preserve">، </w:t>
      </w:r>
      <w:proofErr w:type="gramStart"/>
      <w:r w:rsidRPr="00481168">
        <w:rPr>
          <w:rFonts w:ascii="Simplified Arabic" w:hAnsi="Simplified Arabic" w:cs="Simplified Arabic"/>
          <w:sz w:val="32"/>
          <w:szCs w:val="32"/>
          <w:rtl/>
          <w:lang w:val="en-GB" w:bidi="ar-TN"/>
        </w:rPr>
        <w:t>الفصيلة</w:t>
      </w:r>
      <w:proofErr w:type="spellStart"/>
      <w:r w:rsidRPr="00481168">
        <w:rPr>
          <w:rFonts w:ascii="Simplified Arabic" w:hAnsi="Simplified Arabic" w:cs="Simplified Arabic"/>
          <w:sz w:val="32"/>
          <w:szCs w:val="32"/>
          <w:lang w:val="en-GB" w:bidi="ar-TN"/>
        </w:rPr>
        <w:t>classe</w:t>
      </w:r>
      <w:proofErr w:type="spellEnd"/>
      <w:proofErr w:type="gramEnd"/>
      <w:r w:rsidRPr="00481168">
        <w:rPr>
          <w:rFonts w:ascii="Simplified Arabic" w:hAnsi="Simplified Arabic" w:cs="Simplified Arabic"/>
          <w:sz w:val="32"/>
          <w:szCs w:val="32"/>
          <w:rtl/>
          <w:lang w:val="en-GB" w:bidi="ar-TN"/>
        </w:rPr>
        <w:t>، الصنف</w:t>
      </w:r>
      <w:proofErr w:type="spellStart"/>
      <w:r w:rsidRPr="00481168">
        <w:rPr>
          <w:rFonts w:ascii="Simplified Arabic" w:hAnsi="Simplified Arabic" w:cs="Simplified Arabic"/>
          <w:sz w:val="32"/>
          <w:szCs w:val="32"/>
          <w:lang w:val="en-GB" w:bidi="ar-TN"/>
        </w:rPr>
        <w:t>categorie</w:t>
      </w:r>
      <w:proofErr w:type="spellEnd"/>
      <w:r w:rsidRPr="00481168">
        <w:rPr>
          <w:rFonts w:ascii="Simplified Arabic" w:hAnsi="Simplified Arabic" w:cs="Simplified Arabic"/>
          <w:sz w:val="32"/>
          <w:szCs w:val="32"/>
          <w:rtl/>
          <w:lang w:val="en-GB" w:bidi="ar-TN"/>
        </w:rPr>
        <w:t>، النمط</w:t>
      </w:r>
      <w:r w:rsidRPr="00481168">
        <w:rPr>
          <w:rFonts w:ascii="Simplified Arabic" w:hAnsi="Simplified Arabic" w:cs="Simplified Arabic"/>
          <w:sz w:val="32"/>
          <w:szCs w:val="32"/>
          <w:lang w:val="en-GB" w:bidi="ar-TN"/>
        </w:rPr>
        <w:t>type</w:t>
      </w:r>
      <w:r>
        <w:rPr>
          <w:rFonts w:ascii="Simplified Arabic" w:hAnsi="Simplified Arabic" w:cs="Simplified Arabic" w:hint="cs"/>
          <w:sz w:val="32"/>
          <w:szCs w:val="32"/>
          <w:rtl/>
          <w:lang w:val="en-GB" w:bidi="ar-TN"/>
        </w:rPr>
        <w:t xml:space="preserve"> لتعبر عن نوع من التسلسل الهرمي في ترتيب هيكلة هذه العناصر استنادا إلى التمييز بين كل واحد منها على حدة.</w:t>
      </w:r>
    </w:p>
    <w:p w14:paraId="076F793F" w14:textId="77777777" w:rsidR="002566DC" w:rsidRDefault="002566DC" w:rsidP="002566DC">
      <w:pPr>
        <w:jc w:val="mediumKashida"/>
        <w:rPr>
          <w:rFonts w:ascii="Simplified Arabic" w:hAnsi="Simplified Arabic" w:cs="Simplified Arabic"/>
          <w:b/>
          <w:bCs/>
          <w:sz w:val="32"/>
          <w:szCs w:val="32"/>
          <w:rtl/>
          <w:lang w:val="en-GB" w:bidi="ar-TN"/>
        </w:rPr>
      </w:pPr>
      <w:r w:rsidRPr="00481168">
        <w:rPr>
          <w:rFonts w:ascii="Simplified Arabic" w:hAnsi="Simplified Arabic" w:cs="Simplified Arabic"/>
          <w:b/>
          <w:bCs/>
          <w:sz w:val="32"/>
          <w:szCs w:val="32"/>
          <w:rtl/>
          <w:lang w:val="en-GB" w:bidi="ar-TN"/>
        </w:rPr>
        <w:t>ثانيا-التمييز بين الجنس والنوع</w:t>
      </w:r>
    </w:p>
    <w:p w14:paraId="5A8B1AEF" w14:textId="77777777" w:rsidR="002566DC" w:rsidRPr="00481168" w:rsidRDefault="002566DC" w:rsidP="002566DC">
      <w:pPr>
        <w:jc w:val="mediumKashida"/>
        <w:rPr>
          <w:rFonts w:ascii="Simplified Arabic" w:hAnsi="Simplified Arabic" w:cs="Simplified Arabic"/>
          <w:sz w:val="32"/>
          <w:szCs w:val="32"/>
          <w:rtl/>
          <w:lang w:val="en-GB" w:bidi="ar-TN"/>
        </w:rPr>
      </w:pPr>
      <w:r w:rsidRPr="00481168">
        <w:rPr>
          <w:rFonts w:ascii="Simplified Arabic" w:hAnsi="Simplified Arabic" w:cs="Simplified Arabic"/>
          <w:sz w:val="32"/>
          <w:szCs w:val="32"/>
          <w:rtl/>
          <w:lang w:val="en-GB" w:bidi="ar-TN"/>
        </w:rPr>
        <w:t xml:space="preserve">لعل أول من اهتم بتصنيف الأجناس الأدبية وتقسيمها هما أفلاطون وأرسطو في نظرتهما المتصلة بالمحاكاة </w:t>
      </w:r>
      <w:proofErr w:type="spellStart"/>
      <w:r w:rsidRPr="00481168">
        <w:rPr>
          <w:rFonts w:ascii="Simplified Arabic" w:hAnsi="Simplified Arabic" w:cs="Simplified Arabic"/>
          <w:sz w:val="32"/>
          <w:szCs w:val="32"/>
          <w:rtl/>
          <w:lang w:val="en-GB" w:bidi="ar-TN"/>
        </w:rPr>
        <w:t>وموضعة</w:t>
      </w:r>
      <w:proofErr w:type="spellEnd"/>
      <w:r w:rsidRPr="00481168">
        <w:rPr>
          <w:rFonts w:ascii="Simplified Arabic" w:hAnsi="Simplified Arabic" w:cs="Simplified Arabic"/>
          <w:sz w:val="32"/>
          <w:szCs w:val="32"/>
          <w:rtl/>
          <w:lang w:val="en-GB" w:bidi="ar-TN"/>
        </w:rPr>
        <w:t xml:space="preserve"> أشكال الأدب في إطار الفكر الفلسفي اليوناني</w:t>
      </w:r>
      <w:r>
        <w:rPr>
          <w:rFonts w:ascii="Simplified Arabic" w:hAnsi="Simplified Arabic" w:cs="Simplified Arabic" w:hint="cs"/>
          <w:sz w:val="32"/>
          <w:szCs w:val="32"/>
          <w:rtl/>
          <w:lang w:val="en-GB" w:bidi="ar-TN"/>
        </w:rPr>
        <w:t xml:space="preserve"> حيث وضعا الحدود للأجناس الأدبية التاريخية التي أسهمت في توليد عدد من الأجناس الأدبية الأخرى في رحلة تطورها تماشيا مع السياقات التاريخية والاجتماعية المتحكمة في إنتاج الأدب، وعليه، يرى فيليب فان </w:t>
      </w:r>
      <w:proofErr w:type="spellStart"/>
      <w:r>
        <w:rPr>
          <w:rFonts w:ascii="Simplified Arabic" w:hAnsi="Simplified Arabic" w:cs="Simplified Arabic" w:hint="cs"/>
          <w:sz w:val="32"/>
          <w:szCs w:val="32"/>
          <w:rtl/>
          <w:lang w:val="en-GB" w:bidi="ar-TN"/>
        </w:rPr>
        <w:t>تيغم</w:t>
      </w:r>
      <w:proofErr w:type="spellEnd"/>
      <w:r>
        <w:rPr>
          <w:rFonts w:ascii="Simplified Arabic" w:hAnsi="Simplified Arabic" w:cs="Simplified Arabic" w:hint="cs"/>
          <w:sz w:val="32"/>
          <w:szCs w:val="32"/>
          <w:rtl/>
          <w:lang w:val="en-GB" w:bidi="ar-TN"/>
        </w:rPr>
        <w:t xml:space="preserve"> أن الأدب يتضمن أنواع كبرى متمثلة في الملحمة والمأساة والملهاة، تتضمن أنواع صغرى مثل الرعوية والأود </w:t>
      </w:r>
      <w:proofErr w:type="spellStart"/>
      <w:r>
        <w:rPr>
          <w:rFonts w:ascii="Simplified Arabic" w:hAnsi="Simplified Arabic" w:cs="Simplified Arabic" w:hint="cs"/>
          <w:sz w:val="32"/>
          <w:szCs w:val="32"/>
          <w:rtl/>
          <w:lang w:val="en-GB" w:bidi="ar-TN"/>
        </w:rPr>
        <w:t>والروندو</w:t>
      </w:r>
      <w:proofErr w:type="spellEnd"/>
      <w:r>
        <w:rPr>
          <w:rFonts w:ascii="Simplified Arabic" w:hAnsi="Simplified Arabic" w:cs="Simplified Arabic" w:hint="cs"/>
          <w:sz w:val="32"/>
          <w:szCs w:val="32"/>
          <w:rtl/>
          <w:lang w:val="en-GB" w:bidi="ar-TN"/>
        </w:rPr>
        <w:t xml:space="preserve"> </w:t>
      </w:r>
      <w:proofErr w:type="spellStart"/>
      <w:r>
        <w:rPr>
          <w:rFonts w:ascii="Simplified Arabic" w:hAnsi="Simplified Arabic" w:cs="Simplified Arabic" w:hint="cs"/>
          <w:sz w:val="32"/>
          <w:szCs w:val="32"/>
          <w:rtl/>
          <w:lang w:val="en-GB" w:bidi="ar-TN"/>
        </w:rPr>
        <w:t>والبالاد</w:t>
      </w:r>
      <w:proofErr w:type="spellEnd"/>
      <w:r>
        <w:rPr>
          <w:rFonts w:ascii="Simplified Arabic" w:hAnsi="Simplified Arabic" w:cs="Simplified Arabic" w:hint="cs"/>
          <w:sz w:val="32"/>
          <w:szCs w:val="32"/>
          <w:rtl/>
          <w:lang w:val="en-GB" w:bidi="ar-TN"/>
        </w:rPr>
        <w:t xml:space="preserve">، وأنوع أخرى مختلطة </w:t>
      </w:r>
      <w:proofErr w:type="spellStart"/>
      <w:r>
        <w:rPr>
          <w:rFonts w:ascii="Simplified Arabic" w:hAnsi="Simplified Arabic" w:cs="Simplified Arabic" w:hint="cs"/>
          <w:sz w:val="32"/>
          <w:szCs w:val="32"/>
          <w:rtl/>
          <w:lang w:val="en-GB" w:bidi="ar-TN"/>
        </w:rPr>
        <w:t>مزيجة</w:t>
      </w:r>
      <w:proofErr w:type="spellEnd"/>
      <w:r>
        <w:rPr>
          <w:rFonts w:ascii="Simplified Arabic" w:hAnsi="Simplified Arabic" w:cs="Simplified Arabic" w:hint="cs"/>
          <w:sz w:val="32"/>
          <w:szCs w:val="32"/>
          <w:rtl/>
          <w:lang w:val="en-GB" w:bidi="ar-TN"/>
        </w:rPr>
        <w:t xml:space="preserve"> بين نوعين مثل الملهاة المأساوية والدراما الرعوية</w:t>
      </w:r>
      <w:r>
        <w:rPr>
          <w:rStyle w:val="Appelnotedebasdep"/>
          <w:rFonts w:ascii="Simplified Arabic" w:hAnsi="Simplified Arabic" w:cs="Simplified Arabic"/>
          <w:sz w:val="32"/>
          <w:szCs w:val="32"/>
          <w:rtl/>
          <w:lang w:val="en-GB" w:bidi="ar-TN"/>
        </w:rPr>
        <w:footnoteReference w:id="5"/>
      </w:r>
      <w:r>
        <w:rPr>
          <w:rFonts w:ascii="Simplified Arabic" w:hAnsi="Simplified Arabic" w:cs="Simplified Arabic" w:hint="cs"/>
          <w:sz w:val="32"/>
          <w:szCs w:val="32"/>
          <w:rtl/>
          <w:lang w:val="en-GB" w:bidi="ar-TN"/>
        </w:rPr>
        <w:t xml:space="preserve">، حيث </w:t>
      </w:r>
      <w:r w:rsidRPr="00481168">
        <w:rPr>
          <w:rFonts w:ascii="Simplified Arabic" w:hAnsi="Simplified Arabic" w:cs="Simplified Arabic"/>
          <w:sz w:val="32"/>
          <w:szCs w:val="32"/>
          <w:rtl/>
          <w:lang w:val="en-GB" w:bidi="ar-TN"/>
        </w:rPr>
        <w:t xml:space="preserve">تذكر المعاجم الفلسفية في التمييز بين المصطلحين بأنه "متى كان اللفظان العامان يحتوي أحدهما على الآخر سمي أكبرهما في </w:t>
      </w:r>
      <w:proofErr w:type="spellStart"/>
      <w:r w:rsidRPr="00481168">
        <w:rPr>
          <w:rFonts w:ascii="Simplified Arabic" w:hAnsi="Simplified Arabic" w:cs="Simplified Arabic"/>
          <w:sz w:val="32"/>
          <w:szCs w:val="32"/>
          <w:rtl/>
          <w:lang w:val="en-GB" w:bidi="ar-TN"/>
        </w:rPr>
        <w:t>الماصدق</w:t>
      </w:r>
      <w:proofErr w:type="spellEnd"/>
      <w:r w:rsidRPr="00481168">
        <w:rPr>
          <w:rFonts w:ascii="Simplified Arabic" w:hAnsi="Simplified Arabic" w:cs="Simplified Arabic"/>
          <w:sz w:val="32"/>
          <w:szCs w:val="32"/>
          <w:rtl/>
          <w:lang w:val="en-GB" w:bidi="ar-TN"/>
        </w:rPr>
        <w:t xml:space="preserve"> "جنسا" وأصغرهما نوعا... ،والجنس يصدق على أنواع عدة، ويحتوي "النوع" على صفات الجنس"</w:t>
      </w:r>
      <w:r>
        <w:rPr>
          <w:rStyle w:val="Appelnotedebasdep"/>
          <w:rFonts w:ascii="Simplified Arabic" w:hAnsi="Simplified Arabic" w:cs="Simplified Arabic"/>
          <w:sz w:val="32"/>
          <w:szCs w:val="32"/>
          <w:rtl/>
          <w:lang w:val="en-GB" w:bidi="ar-TN"/>
        </w:rPr>
        <w:footnoteReference w:id="6"/>
      </w:r>
      <w:r>
        <w:rPr>
          <w:rFonts w:ascii="Simplified Arabic" w:hAnsi="Simplified Arabic" w:cs="Simplified Arabic" w:hint="cs"/>
          <w:sz w:val="32"/>
          <w:szCs w:val="32"/>
          <w:rtl/>
          <w:lang w:val="en-GB" w:bidi="ar-TN"/>
        </w:rPr>
        <w:t xml:space="preserve"> وهو ما يعني أن</w:t>
      </w:r>
      <w:r w:rsidRPr="00481168">
        <w:rPr>
          <w:rFonts w:ascii="Simplified Arabic" w:hAnsi="Simplified Arabic" w:cs="Simplified Arabic"/>
          <w:sz w:val="32"/>
          <w:szCs w:val="32"/>
          <w:rtl/>
          <w:lang w:val="en-GB" w:bidi="ar-TN"/>
        </w:rPr>
        <w:t xml:space="preserve"> الأنواع الأدبية هي جملة النماذج الفنية التي تدخل تحت إطار الجنس، فإذا كان عندنا مثلا جنس النثر فسيدخل تحت بابه فن القص الذي يشمل نوع الرواية والقصة والأقصوصة والمقال </w:t>
      </w:r>
      <w:r w:rsidRPr="00481168">
        <w:rPr>
          <w:rFonts w:ascii="Simplified Arabic" w:hAnsi="Simplified Arabic" w:cs="Simplified Arabic"/>
          <w:sz w:val="32"/>
          <w:szCs w:val="32"/>
          <w:rtl/>
          <w:lang w:val="en-GB" w:bidi="ar-TN"/>
        </w:rPr>
        <w:lastRenderedPageBreak/>
        <w:t>، وإذا اعتمدا جنس الرواية أيضا فسيدخل تحتها نوع الرواية التسجيلية والرواية التجريبية وغيرها من التقسيمات التي تتمفصل تحت إطارها العام</w:t>
      </w:r>
      <w:r>
        <w:rPr>
          <w:rFonts w:ascii="Simplified Arabic" w:hAnsi="Simplified Arabic" w:cs="Simplified Arabic" w:hint="cs"/>
          <w:sz w:val="32"/>
          <w:szCs w:val="32"/>
          <w:rtl/>
          <w:lang w:val="en-GB" w:bidi="ar-TN"/>
        </w:rPr>
        <w:t>.</w:t>
      </w:r>
    </w:p>
    <w:p w14:paraId="259533BE" w14:textId="77777777" w:rsidR="002566DC" w:rsidRPr="00481168" w:rsidRDefault="002566DC" w:rsidP="002566DC">
      <w:pPr>
        <w:jc w:val="mediumKashida"/>
        <w:rPr>
          <w:rFonts w:ascii="Simplified Arabic" w:hAnsi="Simplified Arabic" w:cs="Simplified Arabic"/>
          <w:sz w:val="32"/>
          <w:szCs w:val="32"/>
          <w:rtl/>
          <w:lang w:val="en-GB" w:bidi="ar-TN"/>
        </w:rPr>
      </w:pPr>
      <w:r>
        <w:rPr>
          <w:rFonts w:ascii="Simplified Arabic" w:hAnsi="Simplified Arabic" w:cs="Simplified Arabic" w:hint="cs"/>
          <w:sz w:val="32"/>
          <w:szCs w:val="32"/>
          <w:rtl/>
          <w:lang w:val="en-GB" w:bidi="ar-TN"/>
        </w:rPr>
        <w:t xml:space="preserve">وهو ما ذهب إليه أيضا رواد المذهب </w:t>
      </w:r>
      <w:proofErr w:type="spellStart"/>
      <w:r>
        <w:rPr>
          <w:rFonts w:ascii="Simplified Arabic" w:hAnsi="Simplified Arabic" w:cs="Simplified Arabic" w:hint="cs"/>
          <w:sz w:val="32"/>
          <w:szCs w:val="32"/>
          <w:rtl/>
          <w:lang w:val="en-GB" w:bidi="ar-TN"/>
        </w:rPr>
        <w:t>الشكلاني</w:t>
      </w:r>
      <w:proofErr w:type="spellEnd"/>
      <w:r>
        <w:rPr>
          <w:rFonts w:ascii="Simplified Arabic" w:hAnsi="Simplified Arabic" w:cs="Simplified Arabic" w:hint="cs"/>
          <w:sz w:val="32"/>
          <w:szCs w:val="32"/>
          <w:rtl/>
          <w:lang w:val="en-GB" w:bidi="ar-TN"/>
        </w:rPr>
        <w:t xml:space="preserve"> في تحديدهم جملة </w:t>
      </w:r>
      <w:proofErr w:type="spellStart"/>
      <w:r>
        <w:rPr>
          <w:rFonts w:ascii="Simplified Arabic" w:hAnsi="Simplified Arabic" w:cs="Simplified Arabic" w:hint="cs"/>
          <w:sz w:val="32"/>
          <w:szCs w:val="32"/>
          <w:rtl/>
          <w:lang w:val="en-GB" w:bidi="ar-TN"/>
        </w:rPr>
        <w:t>التمييزات</w:t>
      </w:r>
      <w:proofErr w:type="spellEnd"/>
      <w:r>
        <w:rPr>
          <w:rFonts w:ascii="Simplified Arabic" w:hAnsi="Simplified Arabic" w:cs="Simplified Arabic" w:hint="cs"/>
          <w:sz w:val="32"/>
          <w:szCs w:val="32"/>
          <w:rtl/>
          <w:lang w:val="en-GB" w:bidi="ar-TN"/>
        </w:rPr>
        <w:t xml:space="preserve"> القائمة بين مفهومي الجنس والنوع، حيث</w:t>
      </w:r>
      <w:r w:rsidRPr="001A48E4">
        <w:rPr>
          <w:rFonts w:ascii="Simplified Arabic" w:hAnsi="Simplified Arabic" w:cs="Simplified Arabic" w:hint="cs"/>
          <w:sz w:val="32"/>
          <w:szCs w:val="32"/>
          <w:rtl/>
          <w:lang w:val="en-GB" w:bidi="ar-TN"/>
        </w:rPr>
        <w:t xml:space="preserve"> </w:t>
      </w:r>
      <w:r>
        <w:rPr>
          <w:rFonts w:ascii="Simplified Arabic" w:hAnsi="Simplified Arabic" w:cs="Simplified Arabic" w:hint="cs"/>
          <w:sz w:val="32"/>
          <w:szCs w:val="32"/>
          <w:rtl/>
          <w:lang w:val="en-GB" w:bidi="ar-TN"/>
        </w:rPr>
        <w:t>يرى "</w:t>
      </w:r>
      <w:proofErr w:type="spellStart"/>
      <w:r>
        <w:rPr>
          <w:rFonts w:ascii="Simplified Arabic" w:hAnsi="Simplified Arabic" w:cs="Simplified Arabic" w:hint="cs"/>
          <w:sz w:val="32"/>
          <w:szCs w:val="32"/>
          <w:rtl/>
          <w:lang w:val="en-GB" w:bidi="ar-TN"/>
        </w:rPr>
        <w:t>توماشوفسكي</w:t>
      </w:r>
      <w:proofErr w:type="spellEnd"/>
      <w:r>
        <w:rPr>
          <w:rFonts w:ascii="Simplified Arabic" w:hAnsi="Simplified Arabic" w:cs="Simplified Arabic" w:hint="cs"/>
          <w:sz w:val="32"/>
          <w:szCs w:val="32"/>
          <w:rtl/>
          <w:lang w:val="en-GB" w:bidi="ar-TN"/>
        </w:rPr>
        <w:t xml:space="preserve"> </w:t>
      </w:r>
      <w:r>
        <w:rPr>
          <w:rFonts w:ascii="Simplified Arabic" w:hAnsi="Simplified Arabic" w:cs="Simplified Arabic"/>
          <w:sz w:val="32"/>
          <w:szCs w:val="32"/>
          <w:rtl/>
          <w:lang w:val="en-GB" w:bidi="ar-TN"/>
        </w:rPr>
        <w:t>«</w:t>
      </w:r>
      <w:r>
        <w:rPr>
          <w:rFonts w:ascii="Simplified Arabic" w:hAnsi="Simplified Arabic" w:cs="Simplified Arabic" w:hint="cs"/>
          <w:sz w:val="32"/>
          <w:szCs w:val="32"/>
          <w:rtl/>
          <w:lang w:val="en-GB" w:bidi="ar-TN"/>
        </w:rPr>
        <w:t xml:space="preserve">أن الأعمال تتوزع إلى أصناف كبرى، تتوزع بدورها إلى أنماط وأشكال وهذه الأصناف الكبرى تتوزع إلى أنماط وأشكال، بهذا المعنى وبنزول سلم الأجناس ننتقل من الأصناف المجردة إلى </w:t>
      </w:r>
      <w:proofErr w:type="spellStart"/>
      <w:r>
        <w:rPr>
          <w:rFonts w:ascii="Simplified Arabic" w:hAnsi="Simplified Arabic" w:cs="Simplified Arabic" w:hint="cs"/>
          <w:sz w:val="32"/>
          <w:szCs w:val="32"/>
          <w:rtl/>
          <w:lang w:val="en-GB" w:bidi="ar-TN"/>
        </w:rPr>
        <w:t>التمييزات</w:t>
      </w:r>
      <w:proofErr w:type="spellEnd"/>
      <w:r>
        <w:rPr>
          <w:rFonts w:ascii="Simplified Arabic" w:hAnsi="Simplified Arabic" w:cs="Simplified Arabic" w:hint="cs"/>
          <w:sz w:val="32"/>
          <w:szCs w:val="32"/>
          <w:rtl/>
          <w:lang w:val="en-GB" w:bidi="ar-TN"/>
        </w:rPr>
        <w:t xml:space="preserve"> التاريخية الملموسة ، فقصيدة، أقصوصة، رواية، نشيد روحاني، شعر شعبي، بل وإلى النصوص المفردة</w:t>
      </w:r>
      <w:r>
        <w:rPr>
          <w:rFonts w:ascii="Simplified Arabic" w:hAnsi="Simplified Arabic" w:cs="Simplified Arabic"/>
          <w:sz w:val="32"/>
          <w:szCs w:val="32"/>
          <w:rtl/>
          <w:lang w:val="en-GB" w:bidi="ar-TN"/>
        </w:rPr>
        <w:t>»</w:t>
      </w:r>
      <w:r>
        <w:rPr>
          <w:rStyle w:val="Appelnotedebasdep"/>
          <w:rFonts w:ascii="Simplified Arabic" w:hAnsi="Simplified Arabic" w:cs="Simplified Arabic"/>
          <w:sz w:val="32"/>
          <w:szCs w:val="32"/>
          <w:rtl/>
          <w:lang w:val="en-GB" w:bidi="ar-TN"/>
        </w:rPr>
        <w:footnoteReference w:id="7"/>
      </w:r>
      <w:r>
        <w:rPr>
          <w:rFonts w:ascii="Simplified Arabic" w:hAnsi="Simplified Arabic" w:cs="Simplified Arabic" w:hint="cs"/>
          <w:sz w:val="32"/>
          <w:szCs w:val="32"/>
          <w:rtl/>
          <w:lang w:val="en-GB" w:bidi="ar-TN"/>
        </w:rPr>
        <w:t xml:space="preserve">وهو ما يعني وجود نوع من التراتب والهرمية في تضمن هذه التصنيفات لبعضها البعض غير أنها تبقى تنظيرات تقترن بجهود تاريخية ترمي للتأسيس لنظرية </w:t>
      </w:r>
      <w:proofErr w:type="spellStart"/>
      <w:r>
        <w:rPr>
          <w:rFonts w:ascii="Simplified Arabic" w:hAnsi="Simplified Arabic" w:cs="Simplified Arabic" w:hint="cs"/>
          <w:sz w:val="32"/>
          <w:szCs w:val="32"/>
          <w:rtl/>
          <w:lang w:val="en-GB" w:bidi="ar-TN"/>
        </w:rPr>
        <w:t>أجناسية</w:t>
      </w:r>
      <w:proofErr w:type="spellEnd"/>
      <w:r>
        <w:rPr>
          <w:rFonts w:ascii="Simplified Arabic" w:hAnsi="Simplified Arabic" w:cs="Simplified Arabic" w:hint="cs"/>
          <w:sz w:val="32"/>
          <w:szCs w:val="32"/>
          <w:rtl/>
          <w:lang w:val="en-GB" w:bidi="ar-TN"/>
        </w:rPr>
        <w:t xml:space="preserve"> في الأدب لأن الكثير من النقاد المحسوبين على فكر </w:t>
      </w:r>
      <w:proofErr w:type="spellStart"/>
      <w:r>
        <w:rPr>
          <w:rFonts w:ascii="Simplified Arabic" w:hAnsi="Simplified Arabic" w:cs="Simplified Arabic" w:hint="cs"/>
          <w:sz w:val="32"/>
          <w:szCs w:val="32"/>
          <w:rtl/>
          <w:lang w:val="en-GB" w:bidi="ar-TN"/>
        </w:rPr>
        <w:t>مابعد</w:t>
      </w:r>
      <w:proofErr w:type="spellEnd"/>
      <w:r>
        <w:rPr>
          <w:rFonts w:ascii="Simplified Arabic" w:hAnsi="Simplified Arabic" w:cs="Simplified Arabic" w:hint="cs"/>
          <w:sz w:val="32"/>
          <w:szCs w:val="32"/>
          <w:rtl/>
          <w:lang w:val="en-GB" w:bidi="ar-TN"/>
        </w:rPr>
        <w:t xml:space="preserve"> الحداثة قد نفوا مفهوم الجنس ودعوا من ثم إلى تجاوزه تماشيا مع فكرة الإعلان عن سيادة النص.</w:t>
      </w:r>
    </w:p>
    <w:p w14:paraId="04AC2B19" w14:textId="472C48F1" w:rsidR="001F5B04" w:rsidRPr="00481168" w:rsidRDefault="001F5B04" w:rsidP="00BD1D28">
      <w:pPr>
        <w:jc w:val="mediumKashida"/>
        <w:rPr>
          <w:rFonts w:ascii="Simplified Arabic" w:hAnsi="Simplified Arabic" w:cs="Simplified Arabic"/>
          <w:b/>
          <w:bCs/>
          <w:sz w:val="32"/>
          <w:szCs w:val="32"/>
          <w:rtl/>
          <w:lang w:val="fr-FR" w:bidi="ar-TN"/>
        </w:rPr>
      </w:pPr>
    </w:p>
    <w:sectPr w:rsidR="001F5B04" w:rsidRPr="00481168"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105D85" w14:textId="77777777" w:rsidR="00134285" w:rsidRDefault="00134285" w:rsidP="00D13693">
      <w:pPr>
        <w:spacing w:after="0" w:line="240" w:lineRule="auto"/>
      </w:pPr>
      <w:r>
        <w:separator/>
      </w:r>
    </w:p>
  </w:endnote>
  <w:endnote w:type="continuationSeparator" w:id="0">
    <w:p w14:paraId="76651FCE" w14:textId="77777777" w:rsidR="00134285" w:rsidRDefault="00134285"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7E24DD" w14:textId="77777777" w:rsidR="00134285" w:rsidRDefault="00134285" w:rsidP="00D13693">
      <w:pPr>
        <w:spacing w:after="0" w:line="240" w:lineRule="auto"/>
      </w:pPr>
      <w:r>
        <w:separator/>
      </w:r>
    </w:p>
  </w:footnote>
  <w:footnote w:type="continuationSeparator" w:id="0">
    <w:p w14:paraId="2660CBB8" w14:textId="77777777" w:rsidR="00134285" w:rsidRDefault="00134285" w:rsidP="00D13693">
      <w:pPr>
        <w:spacing w:after="0" w:line="240" w:lineRule="auto"/>
      </w:pPr>
      <w:r>
        <w:continuationSeparator/>
      </w:r>
    </w:p>
  </w:footnote>
  <w:footnote w:id="1">
    <w:p w14:paraId="67EECF98" w14:textId="77777777" w:rsidR="002566DC" w:rsidRPr="00AD03FE" w:rsidRDefault="002566DC" w:rsidP="002566DC">
      <w:pPr>
        <w:pStyle w:val="Notedebasdepage"/>
        <w:rPr>
          <w:lang w:val="en-GB"/>
        </w:rPr>
      </w:pPr>
      <w:r>
        <w:rPr>
          <w:rStyle w:val="Appelnotedebasdep"/>
        </w:rPr>
        <w:footnoteRef/>
      </w:r>
      <w:r>
        <w:rPr>
          <w:rtl/>
        </w:rPr>
        <w:t xml:space="preserve"> </w:t>
      </w:r>
      <w:r>
        <w:rPr>
          <w:rFonts w:hint="cs"/>
          <w:rtl/>
        </w:rPr>
        <w:t>-</w:t>
      </w:r>
      <w:r>
        <w:rPr>
          <w:rFonts w:hint="cs"/>
          <w:rtl/>
          <w:lang w:bidi="ar-TN"/>
        </w:rPr>
        <w:t xml:space="preserve">-إيف </w:t>
      </w:r>
      <w:proofErr w:type="spellStart"/>
      <w:r>
        <w:rPr>
          <w:rFonts w:hint="cs"/>
          <w:rtl/>
          <w:lang w:bidi="ar-TN"/>
        </w:rPr>
        <w:t>ستالوني</w:t>
      </w:r>
      <w:proofErr w:type="spellEnd"/>
      <w:r>
        <w:rPr>
          <w:rFonts w:hint="cs"/>
          <w:rtl/>
          <w:lang w:bidi="ar-TN"/>
        </w:rPr>
        <w:t xml:space="preserve">، الأجناس الأدبية، ترجمة محمد </w:t>
      </w:r>
      <w:proofErr w:type="spellStart"/>
      <w:r>
        <w:rPr>
          <w:rFonts w:hint="cs"/>
          <w:rtl/>
          <w:lang w:bidi="ar-TN"/>
        </w:rPr>
        <w:t>الزكراوي</w:t>
      </w:r>
      <w:proofErr w:type="spellEnd"/>
      <w:r>
        <w:rPr>
          <w:rFonts w:hint="cs"/>
          <w:rtl/>
          <w:lang w:bidi="ar-TN"/>
        </w:rPr>
        <w:t>، مركز دراسات الوحدة العربية، بيروت، لبنان، الطبعة الأولى، 2014، ص 14.</w:t>
      </w:r>
    </w:p>
  </w:footnote>
  <w:footnote w:id="2">
    <w:p w14:paraId="4F9EF6AD" w14:textId="77777777" w:rsidR="002566DC" w:rsidRDefault="002566DC" w:rsidP="002566DC">
      <w:pPr>
        <w:pStyle w:val="Notedebasdepage"/>
        <w:rPr>
          <w:lang w:bidi="ar-TN"/>
        </w:rPr>
      </w:pPr>
      <w:r>
        <w:rPr>
          <w:rStyle w:val="Appelnotedebasdep"/>
        </w:rPr>
        <w:footnoteRef/>
      </w:r>
      <w:r>
        <w:rPr>
          <w:rtl/>
        </w:rPr>
        <w:t xml:space="preserve"> </w:t>
      </w:r>
      <w:r>
        <w:rPr>
          <w:rFonts w:hint="cs"/>
          <w:rtl/>
          <w:lang w:bidi="ar-TN"/>
        </w:rPr>
        <w:t>-ابن منظور، لسان العرب، دار صادر، بيروت، د ت، مج 8، مادة جنس</w:t>
      </w:r>
    </w:p>
  </w:footnote>
  <w:footnote w:id="3">
    <w:p w14:paraId="206A1960" w14:textId="77777777" w:rsidR="002566DC" w:rsidRDefault="002566DC" w:rsidP="002566DC">
      <w:pPr>
        <w:pStyle w:val="Notedebasdepage"/>
        <w:rPr>
          <w:lang w:bidi="ar-TN"/>
        </w:rPr>
      </w:pPr>
      <w:r>
        <w:rPr>
          <w:rStyle w:val="Appelnotedebasdep"/>
        </w:rPr>
        <w:footnoteRef/>
      </w:r>
      <w:r>
        <w:rPr>
          <w:rtl/>
        </w:rPr>
        <w:t xml:space="preserve"> </w:t>
      </w:r>
      <w:r>
        <w:rPr>
          <w:rFonts w:hint="cs"/>
          <w:rtl/>
          <w:lang w:bidi="ar-TN"/>
        </w:rPr>
        <w:t xml:space="preserve">-أبو إبراهيم إسحاق </w:t>
      </w:r>
      <w:proofErr w:type="gramStart"/>
      <w:r>
        <w:rPr>
          <w:rFonts w:hint="cs"/>
          <w:rtl/>
          <w:lang w:bidi="ar-TN"/>
        </w:rPr>
        <w:t>الفارابي ،</w:t>
      </w:r>
      <w:proofErr w:type="gramEnd"/>
      <w:r>
        <w:rPr>
          <w:rFonts w:hint="cs"/>
          <w:rtl/>
          <w:lang w:bidi="ar-TN"/>
        </w:rPr>
        <w:t xml:space="preserve"> ديوان الأدب، الهيئة العامة لشؤون المطابع الأميرية، القاهرة، ج 1، 1974، ص 184.</w:t>
      </w:r>
    </w:p>
  </w:footnote>
  <w:footnote w:id="4">
    <w:p w14:paraId="215C3924" w14:textId="77777777" w:rsidR="002566DC" w:rsidRDefault="002566DC" w:rsidP="002566DC">
      <w:pPr>
        <w:pStyle w:val="Notedebasdepage"/>
      </w:pPr>
      <w:r>
        <w:rPr>
          <w:rStyle w:val="Appelnotedebasdep"/>
        </w:rPr>
        <w:footnoteRef/>
      </w:r>
      <w:r>
        <w:rPr>
          <w:rtl/>
        </w:rPr>
        <w:t xml:space="preserve"> </w:t>
      </w:r>
      <w:r>
        <w:rPr>
          <w:rFonts w:hint="cs"/>
          <w:rtl/>
        </w:rPr>
        <w:t xml:space="preserve">-جوناثان </w:t>
      </w:r>
      <w:proofErr w:type="spellStart"/>
      <w:r>
        <w:rPr>
          <w:rFonts w:hint="cs"/>
          <w:rtl/>
        </w:rPr>
        <w:t>كالر</w:t>
      </w:r>
      <w:proofErr w:type="spellEnd"/>
      <w:r>
        <w:rPr>
          <w:rFonts w:hint="cs"/>
          <w:rtl/>
        </w:rPr>
        <w:t>، النظرية الأدبية، منشورات وزارة الثقافة، دمشق، سوريا، 2004، ص 89.</w:t>
      </w:r>
    </w:p>
  </w:footnote>
  <w:footnote w:id="5">
    <w:p w14:paraId="6A08D592" w14:textId="77777777" w:rsidR="002566DC" w:rsidRDefault="002566DC" w:rsidP="002566DC">
      <w:pPr>
        <w:pStyle w:val="Notedebasdepage"/>
      </w:pPr>
      <w:r>
        <w:rPr>
          <w:rStyle w:val="Appelnotedebasdep"/>
        </w:rPr>
        <w:footnoteRef/>
      </w:r>
      <w:r>
        <w:rPr>
          <w:rtl/>
        </w:rPr>
        <w:t xml:space="preserve"> </w:t>
      </w:r>
      <w:r>
        <w:rPr>
          <w:rFonts w:hint="cs"/>
          <w:rtl/>
        </w:rPr>
        <w:t xml:space="preserve">-ينظر، فيليب فن </w:t>
      </w:r>
      <w:proofErr w:type="spellStart"/>
      <w:r>
        <w:rPr>
          <w:rFonts w:hint="cs"/>
          <w:rtl/>
        </w:rPr>
        <w:t>تيغم</w:t>
      </w:r>
      <w:proofErr w:type="spellEnd"/>
      <w:r>
        <w:rPr>
          <w:rFonts w:hint="cs"/>
          <w:rtl/>
        </w:rPr>
        <w:t xml:space="preserve">، المذاهب الأدبية الكبرى في فرنسا، ترجمة فريد </w:t>
      </w:r>
      <w:proofErr w:type="spellStart"/>
      <w:r>
        <w:rPr>
          <w:rFonts w:hint="cs"/>
          <w:rtl/>
        </w:rPr>
        <w:t>أونطونيوس</w:t>
      </w:r>
      <w:proofErr w:type="spellEnd"/>
      <w:r>
        <w:rPr>
          <w:rFonts w:hint="cs"/>
          <w:rtl/>
        </w:rPr>
        <w:t xml:space="preserve">، دار </w:t>
      </w:r>
      <w:proofErr w:type="spellStart"/>
      <w:r>
        <w:rPr>
          <w:rFonts w:hint="cs"/>
          <w:rtl/>
        </w:rPr>
        <w:t>عويدات</w:t>
      </w:r>
      <w:proofErr w:type="spellEnd"/>
      <w:r>
        <w:rPr>
          <w:rFonts w:hint="cs"/>
          <w:rtl/>
        </w:rPr>
        <w:t>، بيروت، ط 3، 1983، ص 64، 65.</w:t>
      </w:r>
    </w:p>
  </w:footnote>
  <w:footnote w:id="6">
    <w:p w14:paraId="6FF6246B" w14:textId="77777777" w:rsidR="002566DC" w:rsidRDefault="002566DC" w:rsidP="002566DC">
      <w:pPr>
        <w:pStyle w:val="Notedebasdepage"/>
        <w:rPr>
          <w:lang w:bidi="ar-TN"/>
        </w:rPr>
      </w:pPr>
      <w:r>
        <w:rPr>
          <w:rStyle w:val="Appelnotedebasdep"/>
        </w:rPr>
        <w:footnoteRef/>
      </w:r>
      <w:r>
        <w:rPr>
          <w:rtl/>
        </w:rPr>
        <w:t xml:space="preserve"> </w:t>
      </w:r>
      <w:r>
        <w:rPr>
          <w:rFonts w:hint="cs"/>
          <w:rtl/>
          <w:lang w:bidi="ar-TN"/>
        </w:rPr>
        <w:t xml:space="preserve">-إيف </w:t>
      </w:r>
      <w:proofErr w:type="spellStart"/>
      <w:r>
        <w:rPr>
          <w:rFonts w:hint="cs"/>
          <w:rtl/>
          <w:lang w:bidi="ar-TN"/>
        </w:rPr>
        <w:t>ستالوني</w:t>
      </w:r>
      <w:proofErr w:type="spellEnd"/>
      <w:r>
        <w:rPr>
          <w:rFonts w:hint="cs"/>
          <w:rtl/>
          <w:lang w:bidi="ar-TN"/>
        </w:rPr>
        <w:t xml:space="preserve">، الأجناس الأدبية، ترجمة محمد </w:t>
      </w:r>
      <w:proofErr w:type="spellStart"/>
      <w:r>
        <w:rPr>
          <w:rFonts w:hint="cs"/>
          <w:rtl/>
          <w:lang w:bidi="ar-TN"/>
        </w:rPr>
        <w:t>الزكراوي</w:t>
      </w:r>
      <w:proofErr w:type="spellEnd"/>
      <w:r>
        <w:rPr>
          <w:rFonts w:hint="cs"/>
          <w:rtl/>
          <w:lang w:bidi="ar-TN"/>
        </w:rPr>
        <w:t>، مركز دراسات الوحدة العربية، بيروت، لبنان، الطبعة الأولى، 2014، ص 19.</w:t>
      </w:r>
    </w:p>
  </w:footnote>
  <w:footnote w:id="7">
    <w:p w14:paraId="50E009AB" w14:textId="77777777" w:rsidR="002566DC" w:rsidRDefault="002566DC" w:rsidP="002566DC">
      <w:pPr>
        <w:pStyle w:val="Notedebasdepage"/>
      </w:pPr>
      <w:r>
        <w:rPr>
          <w:rStyle w:val="Appelnotedebasdep"/>
        </w:rPr>
        <w:footnoteRef/>
      </w:r>
      <w:r>
        <w:rPr>
          <w:rtl/>
        </w:rPr>
        <w:t xml:space="preserve"> </w:t>
      </w:r>
      <w:r>
        <w:rPr>
          <w:rFonts w:hint="cs"/>
          <w:rtl/>
        </w:rPr>
        <w:t>-</w:t>
      </w:r>
      <w:proofErr w:type="spellStart"/>
      <w:r>
        <w:rPr>
          <w:rFonts w:hint="cs"/>
          <w:rtl/>
        </w:rPr>
        <w:t>تزيفيطان</w:t>
      </w:r>
      <w:proofErr w:type="spellEnd"/>
      <w:r>
        <w:rPr>
          <w:rFonts w:hint="cs"/>
          <w:rtl/>
        </w:rPr>
        <w:t xml:space="preserve"> </w:t>
      </w:r>
      <w:proofErr w:type="spellStart"/>
      <w:r>
        <w:rPr>
          <w:rFonts w:hint="cs"/>
          <w:rtl/>
        </w:rPr>
        <w:t>تودورف</w:t>
      </w:r>
      <w:proofErr w:type="spellEnd"/>
      <w:r>
        <w:rPr>
          <w:rFonts w:hint="cs"/>
          <w:rtl/>
        </w:rPr>
        <w:t>، نظرية الأدب، مرجع سابق، ص 307.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5BEC"/>
    <w:rsid w:val="0003098D"/>
    <w:rsid w:val="00031D41"/>
    <w:rsid w:val="00035C1C"/>
    <w:rsid w:val="00035FE5"/>
    <w:rsid w:val="0004344A"/>
    <w:rsid w:val="00053151"/>
    <w:rsid w:val="000542B7"/>
    <w:rsid w:val="00061969"/>
    <w:rsid w:val="00063B7F"/>
    <w:rsid w:val="00070E8A"/>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4285"/>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566DC"/>
    <w:rsid w:val="00261765"/>
    <w:rsid w:val="0026192C"/>
    <w:rsid w:val="00265CD4"/>
    <w:rsid w:val="002735AC"/>
    <w:rsid w:val="002737F5"/>
    <w:rsid w:val="0027712F"/>
    <w:rsid w:val="0027737F"/>
    <w:rsid w:val="00283400"/>
    <w:rsid w:val="00290ADC"/>
    <w:rsid w:val="00297674"/>
    <w:rsid w:val="002A00F0"/>
    <w:rsid w:val="002A2EFE"/>
    <w:rsid w:val="002A4E07"/>
    <w:rsid w:val="002B0C7A"/>
    <w:rsid w:val="002B319B"/>
    <w:rsid w:val="002B4B56"/>
    <w:rsid w:val="002C2855"/>
    <w:rsid w:val="002D00B2"/>
    <w:rsid w:val="002D03F0"/>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0C7A"/>
    <w:rsid w:val="004B126D"/>
    <w:rsid w:val="004C3AAE"/>
    <w:rsid w:val="004C3CA1"/>
    <w:rsid w:val="004C49A9"/>
    <w:rsid w:val="004D3F0A"/>
    <w:rsid w:val="004D7B19"/>
    <w:rsid w:val="004E2C71"/>
    <w:rsid w:val="004E3F8E"/>
    <w:rsid w:val="004E7817"/>
    <w:rsid w:val="004F1083"/>
    <w:rsid w:val="004F5A19"/>
    <w:rsid w:val="00501DA1"/>
    <w:rsid w:val="00511F2B"/>
    <w:rsid w:val="005253BD"/>
    <w:rsid w:val="005256F6"/>
    <w:rsid w:val="00530404"/>
    <w:rsid w:val="00536C86"/>
    <w:rsid w:val="00540AE1"/>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600E6C"/>
    <w:rsid w:val="00601290"/>
    <w:rsid w:val="00606327"/>
    <w:rsid w:val="00626B10"/>
    <w:rsid w:val="0062793D"/>
    <w:rsid w:val="00634C9E"/>
    <w:rsid w:val="00636AE2"/>
    <w:rsid w:val="006404B1"/>
    <w:rsid w:val="006428C4"/>
    <w:rsid w:val="006567B0"/>
    <w:rsid w:val="006641F3"/>
    <w:rsid w:val="00666563"/>
    <w:rsid w:val="00675457"/>
    <w:rsid w:val="00684199"/>
    <w:rsid w:val="00684F24"/>
    <w:rsid w:val="0068660E"/>
    <w:rsid w:val="006A2DB6"/>
    <w:rsid w:val="006A44DD"/>
    <w:rsid w:val="006A6CAC"/>
    <w:rsid w:val="006B0C45"/>
    <w:rsid w:val="006C6298"/>
    <w:rsid w:val="006D4B35"/>
    <w:rsid w:val="006E2757"/>
    <w:rsid w:val="006E4B77"/>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A0B31"/>
    <w:rsid w:val="007A7094"/>
    <w:rsid w:val="007A7F05"/>
    <w:rsid w:val="007C1157"/>
    <w:rsid w:val="007C2401"/>
    <w:rsid w:val="007D589B"/>
    <w:rsid w:val="007E446D"/>
    <w:rsid w:val="007F24BC"/>
    <w:rsid w:val="007F2A8E"/>
    <w:rsid w:val="007F6902"/>
    <w:rsid w:val="008101A5"/>
    <w:rsid w:val="008108F6"/>
    <w:rsid w:val="00813CF8"/>
    <w:rsid w:val="00817D89"/>
    <w:rsid w:val="00823D83"/>
    <w:rsid w:val="00824394"/>
    <w:rsid w:val="0082648B"/>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900AEE"/>
    <w:rsid w:val="00901114"/>
    <w:rsid w:val="00905227"/>
    <w:rsid w:val="00907186"/>
    <w:rsid w:val="0091120C"/>
    <w:rsid w:val="009121EE"/>
    <w:rsid w:val="00912579"/>
    <w:rsid w:val="009152D5"/>
    <w:rsid w:val="00916122"/>
    <w:rsid w:val="00927129"/>
    <w:rsid w:val="00931935"/>
    <w:rsid w:val="00936B39"/>
    <w:rsid w:val="00953543"/>
    <w:rsid w:val="009611F0"/>
    <w:rsid w:val="00962BF7"/>
    <w:rsid w:val="009634D9"/>
    <w:rsid w:val="009643FF"/>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22CD"/>
    <w:rsid w:val="00A85A6C"/>
    <w:rsid w:val="00A91DBA"/>
    <w:rsid w:val="00A939E9"/>
    <w:rsid w:val="00A947B9"/>
    <w:rsid w:val="00A95321"/>
    <w:rsid w:val="00A96A27"/>
    <w:rsid w:val="00A97AC5"/>
    <w:rsid w:val="00AA44F1"/>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2BDF"/>
    <w:rsid w:val="00E02BFD"/>
    <w:rsid w:val="00E10E6A"/>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E2623"/>
    <w:rsid w:val="00EF2A88"/>
    <w:rsid w:val="00EF3188"/>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AE9FEB-FAE4-4176-80E1-E552CA2DC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1676</TotalTime>
  <Pages>3</Pages>
  <Words>560</Words>
  <Characters>3080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160</cp:revision>
  <dcterms:created xsi:type="dcterms:W3CDTF">2023-12-10T10:52:00Z</dcterms:created>
  <dcterms:modified xsi:type="dcterms:W3CDTF">2026-02-06T15:21:00Z</dcterms:modified>
</cp:coreProperties>
</file>