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078" w:rsidRDefault="00410078" w:rsidP="00410078">
      <w:pPr>
        <w:bidi/>
        <w:spacing w:after="0" w:line="240" w:lineRule="auto"/>
        <w:rPr>
          <w:rFonts w:ascii="Arial" w:eastAsia="Times New Roman" w:hAnsi="Arial" w:cs="Arial" w:hint="cs"/>
          <w:b/>
          <w:bCs/>
          <w:color w:val="FF0000"/>
          <w:sz w:val="36"/>
          <w:szCs w:val="36"/>
          <w:shd w:val="clear" w:color="auto" w:fill="FFFFFF"/>
          <w:rtl/>
          <w:lang w:eastAsia="fr-FR" w:bidi="ar-DZ"/>
        </w:rPr>
      </w:pPr>
      <w:r w:rsidRPr="00410078">
        <w:rPr>
          <w:rFonts w:ascii="Arial" w:eastAsia="Times New Roman" w:hAnsi="Arial" w:cs="Arial" w:hint="cs"/>
          <w:b/>
          <w:bCs/>
          <w:color w:val="FF0000"/>
          <w:sz w:val="36"/>
          <w:szCs w:val="36"/>
          <w:shd w:val="clear" w:color="auto" w:fill="FFFFFF"/>
          <w:rtl/>
          <w:lang w:eastAsia="fr-FR" w:bidi="ar-DZ"/>
        </w:rPr>
        <w:t xml:space="preserve"> المحاضرة الثالثة عشر</w:t>
      </w:r>
      <w:r>
        <w:rPr>
          <w:rFonts w:ascii="Arial" w:eastAsia="Times New Roman" w:hAnsi="Arial" w:cs="Arial" w:hint="cs"/>
          <w:b/>
          <w:bCs/>
          <w:color w:val="FF0000"/>
          <w:sz w:val="36"/>
          <w:szCs w:val="36"/>
          <w:shd w:val="clear" w:color="auto" w:fill="FFFFFF"/>
          <w:rtl/>
          <w:lang w:eastAsia="fr-FR" w:bidi="ar-DZ"/>
        </w:rPr>
        <w:t xml:space="preserve"> بعنوان</w:t>
      </w:r>
      <w:r w:rsidRPr="00410078">
        <w:rPr>
          <w:rFonts w:ascii="Arial" w:eastAsia="Times New Roman" w:hAnsi="Arial" w:cs="Arial" w:hint="cs"/>
          <w:b/>
          <w:bCs/>
          <w:color w:val="FF0000"/>
          <w:sz w:val="36"/>
          <w:szCs w:val="36"/>
          <w:shd w:val="clear" w:color="auto" w:fill="FFFFFF"/>
          <w:rtl/>
          <w:lang w:eastAsia="fr-FR" w:bidi="ar-DZ"/>
        </w:rPr>
        <w:t> </w:t>
      </w:r>
      <w:r w:rsidRPr="00410078">
        <w:rPr>
          <w:rFonts w:ascii="Arial" w:eastAsia="Times New Roman" w:hAnsi="Arial" w:cs="Arial"/>
          <w:b/>
          <w:bCs/>
          <w:color w:val="FF0000"/>
          <w:sz w:val="36"/>
          <w:szCs w:val="36"/>
          <w:shd w:val="clear" w:color="auto" w:fill="FFFFFF"/>
          <w:lang w:eastAsia="fr-FR" w:bidi="ar-DZ"/>
        </w:rPr>
        <w:t>:</w:t>
      </w:r>
      <w:r w:rsidRPr="00410078">
        <w:rPr>
          <w:rFonts w:ascii="Arial" w:eastAsia="Times New Roman" w:hAnsi="Arial" w:cs="Arial" w:hint="cs"/>
          <w:b/>
          <w:bCs/>
          <w:color w:val="FF0000"/>
          <w:sz w:val="36"/>
          <w:szCs w:val="36"/>
          <w:shd w:val="clear" w:color="auto" w:fill="FFFFFF"/>
          <w:rtl/>
          <w:lang w:eastAsia="fr-FR" w:bidi="ar-DZ"/>
        </w:rPr>
        <w:t xml:space="preserve"> آفاق البحث في المصطلح </w:t>
      </w:r>
      <w:r w:rsidRPr="00410078">
        <w:rPr>
          <w:rFonts w:ascii="Arial" w:eastAsia="Times New Roman" w:hAnsi="Arial" w:cs="Arial"/>
          <w:b/>
          <w:bCs/>
          <w:color w:val="FF0000"/>
          <w:sz w:val="36"/>
          <w:szCs w:val="36"/>
          <w:shd w:val="clear" w:color="auto" w:fill="FFFFFF"/>
          <w:lang w:eastAsia="fr-FR" w:bidi="ar-DZ"/>
        </w:rPr>
        <w:t>1 </w:t>
      </w:r>
    </w:p>
    <w:p w:rsidR="00410078" w:rsidRPr="00410078" w:rsidRDefault="00410078" w:rsidP="00410078">
      <w:pPr>
        <w:bidi/>
        <w:spacing w:after="0" w:line="240" w:lineRule="auto"/>
        <w:rPr>
          <w:rFonts w:ascii="Arial" w:eastAsia="Times New Roman" w:hAnsi="Arial" w:cs="Arial" w:hint="cs"/>
          <w:b/>
          <w:bCs/>
          <w:color w:val="FF0000"/>
          <w:sz w:val="36"/>
          <w:szCs w:val="36"/>
          <w:shd w:val="clear" w:color="auto" w:fill="FFFFFF"/>
          <w:lang w:eastAsia="fr-FR" w:bidi="ar-DZ"/>
        </w:rPr>
      </w:pPr>
    </w:p>
    <w:p w:rsidR="00410078" w:rsidRPr="00410078" w:rsidRDefault="00410078" w:rsidP="00410078">
      <w:pPr>
        <w:bidi/>
        <w:spacing w:after="0" w:line="240" w:lineRule="auto"/>
        <w:rPr>
          <w:rFonts w:ascii="Simplified Arabic" w:eastAsia="Times New Roman" w:hAnsi="Simplified Arabic" w:cs="Simplified Arabic"/>
          <w:sz w:val="32"/>
          <w:szCs w:val="32"/>
          <w:lang w:eastAsia="fr-FR"/>
        </w:rPr>
      </w:pPr>
      <w:r w:rsidRPr="00410078">
        <w:rPr>
          <w:rFonts w:ascii="Simplified Arabic" w:eastAsia="Times New Roman" w:hAnsi="Simplified Arabic" w:cs="Simplified Arabic"/>
          <w:color w:val="222222"/>
          <w:sz w:val="32"/>
          <w:szCs w:val="32"/>
          <w:shd w:val="clear" w:color="auto" w:fill="FFFFFF"/>
          <w:rtl/>
          <w:lang w:eastAsia="fr-FR"/>
        </w:rPr>
        <w:t>أصبح البحث في المصطلح من القضايا المركزية في الدراسات اللسانية المعاصرة، لما له من دور حاسم في بناء المعرفة العلمية وضبط مفاهيمها وتداولها. ولم يعد المصطلح مجرد أداة لغوية محايدة، بل غدا مجالًا بحثيًا مستقلًا تتقاطع فيه اللسانيات، والترجمة، والمعرفة، والتاريخ العلمي. وفي السياق العربي، تزداد أهمية البحث المصطلحي في ظل تعدد المقابلات، واختلاف المرجعيات، وتسارع استيراد المفاهيم العلمية الحديثة، مما يفتح آفاقًا واسعة للبحث والتنظير والتقنين</w:t>
      </w:r>
      <w:r w:rsidRPr="00410078">
        <w:rPr>
          <w:rFonts w:ascii="Simplified Arabic" w:eastAsia="Times New Roman" w:hAnsi="Simplified Arabic" w:cs="Simplified Arabic"/>
          <w:color w:val="222222"/>
          <w:sz w:val="32"/>
          <w:szCs w:val="32"/>
          <w:shd w:val="clear" w:color="auto" w:fill="FFFFFF"/>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410078">
        <w:rPr>
          <w:rFonts w:ascii="Simplified Arabic" w:eastAsia="Times New Roman" w:hAnsi="Simplified Arabic" w:cs="Simplified Arabic"/>
          <w:b/>
          <w:bCs/>
          <w:color w:val="222222"/>
          <w:sz w:val="32"/>
          <w:szCs w:val="32"/>
          <w:lang w:eastAsia="fr-FR"/>
        </w:rPr>
        <w:t>1</w:t>
      </w:r>
      <w:r w:rsidRPr="00410078">
        <w:rPr>
          <w:rFonts w:ascii="Simplified Arabic" w:eastAsia="Times New Roman" w:hAnsi="Simplified Arabic" w:cs="Simplified Arabic"/>
          <w:b/>
          <w:bCs/>
          <w:color w:val="222222"/>
          <w:sz w:val="32"/>
          <w:szCs w:val="32"/>
          <w:rtl/>
          <w:lang w:eastAsia="fr-FR"/>
        </w:rPr>
        <w:t>المصطلح بوصفه مجالًا معرفيًا مستقلاً</w:t>
      </w:r>
      <w:r w:rsidRPr="00410078">
        <w:rPr>
          <w:rFonts w:ascii="Simplified Arabic" w:eastAsia="Times New Roman" w:hAnsi="Simplified Arabic" w:cs="Simplified Arabic" w:hint="cs"/>
          <w:b/>
          <w:bCs/>
          <w:color w:val="222222"/>
          <w:sz w:val="32"/>
          <w:szCs w:val="32"/>
          <w:rtl/>
          <w:lang w:eastAsia="fr-FR"/>
        </w:rPr>
        <w:t> </w:t>
      </w:r>
      <w:r w:rsidRPr="00410078">
        <w:rPr>
          <w:rFonts w:ascii="Simplified Arabic" w:eastAsia="Times New Roman" w:hAnsi="Simplified Arabic" w:cs="Simplified Arabic"/>
          <w:b/>
          <w:bCs/>
          <w:color w:val="222222"/>
          <w:sz w:val="32"/>
          <w:szCs w:val="32"/>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يُنظر إلى المصطلح في الدراسات الحديثة بوصفه وحدة معرفية قبل أن يكون وحدة لغوية، إذ يرتبط بمفهوم علمي محدد داخل نسق معرفي متكامل. وقد أسهم هذا التحول في نشوء علم المصطلح</w:t>
      </w:r>
      <w:r w:rsidRPr="00410078">
        <w:rPr>
          <w:rFonts w:ascii="Simplified Arabic" w:eastAsia="Times New Roman" w:hAnsi="Simplified Arabic" w:cs="Simplified Arabic"/>
          <w:color w:val="222222"/>
          <w:sz w:val="32"/>
          <w:szCs w:val="32"/>
          <w:lang w:eastAsia="fr-FR"/>
        </w:rPr>
        <w:t xml:space="preserve"> (Terminologie) </w:t>
      </w:r>
      <w:r w:rsidRPr="00410078">
        <w:rPr>
          <w:rFonts w:ascii="Simplified Arabic" w:eastAsia="Times New Roman" w:hAnsi="Simplified Arabic" w:cs="Simplified Arabic"/>
          <w:color w:val="222222"/>
          <w:sz w:val="32"/>
          <w:szCs w:val="32"/>
          <w:rtl/>
          <w:lang w:eastAsia="fr-FR"/>
        </w:rPr>
        <w:t>بوصفه حقلًا معرفيًا له مناهجه وأدواته وأسئلته الخاصة</w:t>
      </w:r>
      <w:r>
        <w:rPr>
          <w:rStyle w:val="Appelnotedebasdep"/>
          <w:rFonts w:ascii="Simplified Arabic" w:eastAsia="Times New Roman" w:hAnsi="Simplified Arabic" w:cs="Simplified Arabic"/>
          <w:color w:val="222222"/>
          <w:sz w:val="32"/>
          <w:szCs w:val="32"/>
          <w:rtl/>
          <w:lang w:eastAsia="fr-FR"/>
        </w:rPr>
        <w:footnoteReference w:id="2"/>
      </w:r>
      <w:r w:rsidRPr="00410078">
        <w:rPr>
          <w:rFonts w:ascii="Simplified Arabic" w:eastAsia="Times New Roman" w:hAnsi="Simplified Arabic" w:cs="Simplified Arabic"/>
          <w:color w:val="222222"/>
          <w:sz w:val="32"/>
          <w:szCs w:val="32"/>
          <w:rtl/>
          <w:lang w:eastAsia="fr-FR"/>
        </w:rPr>
        <w:t>. ويُعدّ البحث في طبيعة العلاقة بين المصطلح والمفهوم، وحدود الدقة المصطلحية، من أهم الآفاق التي يفتحها هذا الحقل، خاصة في العلوم اللسانية التي تتسم بتعدد الاتجاهات النظرية</w:t>
      </w:r>
      <w:r w:rsidRPr="00410078">
        <w:rPr>
          <w:rFonts w:ascii="Simplified Arabic" w:eastAsia="Times New Roman" w:hAnsi="Simplified Arabic" w:cs="Simplified Arabic"/>
          <w:color w:val="222222"/>
          <w:sz w:val="32"/>
          <w:szCs w:val="32"/>
          <w:lang w:eastAsia="fr-FR"/>
        </w:rPr>
        <w:t>.</w:t>
      </w:r>
    </w:p>
    <w:p w:rsidR="00410078" w:rsidRPr="00410078" w:rsidRDefault="008F25A3"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bidi="ar-DZ"/>
        </w:rPr>
        <w:t>-</w:t>
      </w:r>
      <w:r w:rsidRPr="008F25A3">
        <w:rPr>
          <w:rFonts w:ascii="Simplified Arabic" w:eastAsia="Times New Roman" w:hAnsi="Simplified Arabic" w:cs="Simplified Arabic"/>
          <w:b/>
          <w:bCs/>
          <w:color w:val="222222"/>
          <w:sz w:val="32"/>
          <w:szCs w:val="32"/>
          <w:lang w:eastAsia="fr-FR" w:bidi="ar-DZ"/>
        </w:rPr>
        <w:t>2</w:t>
      </w:r>
      <w:r w:rsidR="00410078" w:rsidRPr="00410078">
        <w:rPr>
          <w:rFonts w:ascii="Simplified Arabic" w:eastAsia="Times New Roman" w:hAnsi="Simplified Arabic" w:cs="Simplified Arabic"/>
          <w:b/>
          <w:bCs/>
          <w:color w:val="222222"/>
          <w:sz w:val="32"/>
          <w:szCs w:val="32"/>
          <w:rtl/>
          <w:lang w:eastAsia="fr-FR"/>
        </w:rPr>
        <w:t>البحث في تاريخ المصطلح اللساني وتطوره</w:t>
      </w:r>
      <w:r w:rsidRPr="008F25A3">
        <w:rPr>
          <w:rFonts w:ascii="Simplified Arabic" w:eastAsia="Times New Roman" w:hAnsi="Simplified Arabic" w:cs="Simplified Arabic" w:hint="cs"/>
          <w:b/>
          <w:bCs/>
          <w:color w:val="222222"/>
          <w:sz w:val="32"/>
          <w:szCs w:val="32"/>
          <w:rtl/>
          <w:lang w:eastAsia="fr-FR"/>
        </w:rPr>
        <w:t> </w:t>
      </w:r>
      <w:r w:rsidRPr="008F25A3">
        <w:rPr>
          <w:rFonts w:ascii="Simplified Arabic" w:eastAsia="Times New Roman" w:hAnsi="Simplified Arabic" w:cs="Simplified Arabic"/>
          <w:b/>
          <w:bCs/>
          <w:color w:val="222222"/>
          <w:sz w:val="32"/>
          <w:szCs w:val="32"/>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يمثل تتبع المصطلح اللساني في مساره التاريخي أحد أهم آفاق البحث المصطلحي، إذ يسمح بفهم كيفية تشكّل المفاهيم وتحولها عبر الزمن. فالمصطلح لا يظهر دفعة واحدة، بل يمر بمراحل من التبلور والتعديل وإعادة التوظيف تبعًا لتطور النظرية اللسانية</w:t>
      </w:r>
      <w:r w:rsidR="008F25A3">
        <w:rPr>
          <w:rStyle w:val="Appelnotedebasdep"/>
          <w:rFonts w:ascii="Simplified Arabic" w:eastAsia="Times New Roman" w:hAnsi="Simplified Arabic" w:cs="Simplified Arabic"/>
          <w:color w:val="222222"/>
          <w:sz w:val="32"/>
          <w:szCs w:val="32"/>
          <w:rtl/>
          <w:lang w:eastAsia="fr-FR"/>
        </w:rPr>
        <w:footnoteReference w:id="3"/>
      </w:r>
      <w:r w:rsidRPr="00410078">
        <w:rPr>
          <w:rFonts w:ascii="Simplified Arabic" w:eastAsia="Times New Roman" w:hAnsi="Simplified Arabic" w:cs="Simplified Arabic"/>
          <w:color w:val="222222"/>
          <w:sz w:val="32"/>
          <w:szCs w:val="32"/>
          <w:rtl/>
          <w:lang w:eastAsia="fr-FR"/>
        </w:rPr>
        <w:t>. ويكشف هذا النوع من البحث عن أسباب التعدد المصطلحي، وعن الفروق الدلالية التي قد تغيب في الاستعمال المعاصر، كما يسهم في ترسيخ الوعي بالسياق العلمي الذي نشأ فيه المصطلح</w:t>
      </w:r>
      <w:r w:rsidRPr="00410078">
        <w:rPr>
          <w:rFonts w:ascii="Simplified Arabic" w:eastAsia="Times New Roman" w:hAnsi="Simplified Arabic" w:cs="Simplified Arabic"/>
          <w:color w:val="222222"/>
          <w:sz w:val="32"/>
          <w:szCs w:val="32"/>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آفاق البحث في التوحيد والتقنين المصطلحي</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lastRenderedPageBreak/>
        <w:t>يشكّل توحيد المصطلح وتقنينه من أبرز القضايا التي تستقطب اهتمام الباحثين، لا سيما في السياق العربي. ويهدف هذا التوجه إلى الحد من الفوضى المصطلحية وضمان قدر من الاستقرار المفهومي في الخطاب العلمي. ويفتح هذا المجال البحثي أسئلة منهجية تتعلق بمعايير اختيار المصطلح، وحدود التوحيد الممكنة، ودور المجامع اللغوية والمؤسسات الأكاديمية في إقرار المصطلحات وتداولها</w:t>
      </w:r>
      <w:r w:rsidRPr="00410078">
        <w:rPr>
          <w:rFonts w:ascii="Simplified Arabic" w:eastAsia="Times New Roman" w:hAnsi="Simplified Arabic" w:cs="Simplified Arabic"/>
          <w:color w:val="222222"/>
          <w:sz w:val="32"/>
          <w:szCs w:val="32"/>
          <w:lang w:eastAsia="fr-FR"/>
        </w:rPr>
        <w:t>.</w:t>
      </w:r>
    </w:p>
    <w:p w:rsidR="00410078" w:rsidRPr="00410078" w:rsidRDefault="00CF160A" w:rsidP="00410078">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CF160A">
        <w:rPr>
          <w:rFonts w:ascii="Simplified Arabic" w:eastAsia="Times New Roman" w:hAnsi="Simplified Arabic" w:cs="Simplified Arabic"/>
          <w:b/>
          <w:bCs/>
          <w:color w:val="222222"/>
          <w:sz w:val="32"/>
          <w:szCs w:val="32"/>
          <w:lang w:eastAsia="fr-FR"/>
        </w:rPr>
        <w:t>3</w:t>
      </w:r>
      <w:r w:rsidR="00410078" w:rsidRPr="00410078">
        <w:rPr>
          <w:rFonts w:ascii="Simplified Arabic" w:eastAsia="Times New Roman" w:hAnsi="Simplified Arabic" w:cs="Simplified Arabic"/>
          <w:b/>
          <w:bCs/>
          <w:color w:val="222222"/>
          <w:sz w:val="32"/>
          <w:szCs w:val="32"/>
          <w:rtl/>
          <w:lang w:eastAsia="fr-FR"/>
        </w:rPr>
        <w:t>البحث في المصطلح والترجمة العلمية</w:t>
      </w:r>
      <w:r>
        <w:rPr>
          <w:rFonts w:ascii="Simplified Arabic" w:eastAsia="Times New Roman" w:hAnsi="Simplified Arabic" w:cs="Simplified Arabic" w:hint="cs"/>
          <w:b/>
          <w:bCs/>
          <w:color w:val="222222"/>
          <w:sz w:val="32"/>
          <w:szCs w:val="32"/>
          <w:rtl/>
          <w:lang w:eastAsia="fr-FR"/>
        </w:rPr>
        <w:t> </w:t>
      </w:r>
      <w:r>
        <w:rPr>
          <w:rFonts w:ascii="Simplified Arabic" w:eastAsia="Times New Roman" w:hAnsi="Simplified Arabic" w:cs="Simplified Arabic"/>
          <w:b/>
          <w:bCs/>
          <w:color w:val="222222"/>
          <w:sz w:val="32"/>
          <w:szCs w:val="32"/>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تُعدّ الترجمة أحد أهم روافد توليد المصطلح العلمي، ومن ثمّ تشكّل مجالًا خصبًا للبحث المصطلحي. ويتناول هذا المحور دراسة استراتيجيات ترجمة المصطلح، وإشكالات النقل بين اللغات، ومدى تأثير لغة المصدر في تشكيل المصطلح العربي</w:t>
      </w:r>
      <w:r w:rsidR="00CF160A">
        <w:rPr>
          <w:rStyle w:val="Appelnotedebasdep"/>
          <w:rFonts w:ascii="Simplified Arabic" w:eastAsia="Times New Roman" w:hAnsi="Simplified Arabic" w:cs="Simplified Arabic"/>
          <w:color w:val="222222"/>
          <w:sz w:val="32"/>
          <w:szCs w:val="32"/>
          <w:rtl/>
          <w:lang w:eastAsia="fr-FR"/>
        </w:rPr>
        <w:footnoteReference w:id="4"/>
      </w:r>
      <w:r w:rsidRPr="00410078">
        <w:rPr>
          <w:rFonts w:ascii="Simplified Arabic" w:eastAsia="Times New Roman" w:hAnsi="Simplified Arabic" w:cs="Simplified Arabic"/>
          <w:color w:val="222222"/>
          <w:sz w:val="32"/>
          <w:szCs w:val="32"/>
          <w:rtl/>
          <w:lang w:eastAsia="fr-FR"/>
        </w:rPr>
        <w:t>. كما يفتح البحث في هذا المجال آفاقًا للمقارنة بين الترجمات المختلفة للمصطلح الواحد، وتحليل مدى دقتها وملاءمتها للسياق المعرفي العربي</w:t>
      </w:r>
      <w:r w:rsidRPr="00410078">
        <w:rPr>
          <w:rFonts w:ascii="Simplified Arabic" w:eastAsia="Times New Roman" w:hAnsi="Simplified Arabic" w:cs="Simplified Arabic"/>
          <w:color w:val="222222"/>
          <w:sz w:val="32"/>
          <w:szCs w:val="32"/>
          <w:lang w:eastAsia="fr-FR"/>
        </w:rPr>
        <w:t>.</w:t>
      </w:r>
    </w:p>
    <w:p w:rsidR="00410078" w:rsidRPr="00410078" w:rsidRDefault="008665AA"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w:t>
      </w:r>
      <w:r w:rsidRPr="008665AA">
        <w:rPr>
          <w:rFonts w:ascii="Simplified Arabic" w:eastAsia="Times New Roman" w:hAnsi="Simplified Arabic" w:cs="Simplified Arabic"/>
          <w:b/>
          <w:bCs/>
          <w:color w:val="222222"/>
          <w:sz w:val="32"/>
          <w:szCs w:val="32"/>
          <w:lang w:eastAsia="fr-FR"/>
        </w:rPr>
        <w:t>4</w:t>
      </w:r>
      <w:r w:rsidR="00410078" w:rsidRPr="00410078">
        <w:rPr>
          <w:rFonts w:ascii="Simplified Arabic" w:eastAsia="Times New Roman" w:hAnsi="Simplified Arabic" w:cs="Simplified Arabic"/>
          <w:b/>
          <w:bCs/>
          <w:color w:val="222222"/>
          <w:sz w:val="32"/>
          <w:szCs w:val="32"/>
          <w:rtl/>
          <w:lang w:eastAsia="fr-FR"/>
        </w:rPr>
        <w:t>المصطلح اللساني بين الثبات والتحول</w:t>
      </w:r>
      <w:r w:rsidRPr="008665AA">
        <w:rPr>
          <w:rFonts w:ascii="Simplified Arabic" w:eastAsia="Times New Roman" w:hAnsi="Simplified Arabic" w:cs="Simplified Arabic" w:hint="cs"/>
          <w:b/>
          <w:bCs/>
          <w:color w:val="222222"/>
          <w:sz w:val="32"/>
          <w:szCs w:val="32"/>
          <w:rtl/>
          <w:lang w:eastAsia="fr-FR"/>
        </w:rPr>
        <w:t> </w:t>
      </w:r>
      <w:r w:rsidRPr="008665AA">
        <w:rPr>
          <w:rFonts w:ascii="Simplified Arabic" w:eastAsia="Times New Roman" w:hAnsi="Simplified Arabic" w:cs="Simplified Arabic"/>
          <w:b/>
          <w:bCs/>
          <w:color w:val="222222"/>
          <w:sz w:val="32"/>
          <w:szCs w:val="32"/>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من آفاق البحث المعاصرة دراسة دينامية المصطلح اللساني، أي مدى ثباته أو قابليته للتحول تبعًا لتغير النظريات والمناهج. فبعض المصطلحات يحتفظ بدلالته عبر اتجاهات مختلفة، في حين يكتسب بعضها الآخر معاني جديدة أو وظائف مختلفة</w:t>
      </w:r>
      <w:r w:rsidR="008665AA">
        <w:rPr>
          <w:rStyle w:val="Appelnotedebasdep"/>
          <w:rFonts w:ascii="Simplified Arabic" w:eastAsia="Times New Roman" w:hAnsi="Simplified Arabic" w:cs="Simplified Arabic"/>
          <w:color w:val="222222"/>
          <w:sz w:val="32"/>
          <w:szCs w:val="32"/>
          <w:rtl/>
          <w:lang w:eastAsia="fr-FR"/>
        </w:rPr>
        <w:footnoteReference w:id="5"/>
      </w:r>
      <w:r w:rsidRPr="00410078">
        <w:rPr>
          <w:rFonts w:ascii="Simplified Arabic" w:eastAsia="Times New Roman" w:hAnsi="Simplified Arabic" w:cs="Simplified Arabic"/>
          <w:color w:val="222222"/>
          <w:sz w:val="32"/>
          <w:szCs w:val="32"/>
          <w:rtl/>
          <w:lang w:eastAsia="fr-FR"/>
        </w:rPr>
        <w:t>. ويسهم هذا النوع من البحث في تفكيك الوهم القائل بثبات المصطلح، ويبرز طبيعته التداولية والمعرفية المتحركة</w:t>
      </w:r>
      <w:r w:rsidRPr="00410078">
        <w:rPr>
          <w:rFonts w:ascii="Simplified Arabic" w:eastAsia="Times New Roman" w:hAnsi="Simplified Arabic" w:cs="Simplified Arabic"/>
          <w:color w:val="222222"/>
          <w:sz w:val="32"/>
          <w:szCs w:val="32"/>
          <w:lang w:eastAsia="fr-FR"/>
        </w:rPr>
        <w:t>.</w:t>
      </w:r>
    </w:p>
    <w:p w:rsidR="00410078" w:rsidRPr="00410078" w:rsidRDefault="008F1AE5" w:rsidP="00410078">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sidRPr="008F1AE5">
        <w:rPr>
          <w:rFonts w:ascii="Simplified Arabic" w:eastAsia="Times New Roman" w:hAnsi="Simplified Arabic" w:cs="Simplified Arabic"/>
          <w:b/>
          <w:bCs/>
          <w:color w:val="222222"/>
          <w:sz w:val="32"/>
          <w:szCs w:val="32"/>
          <w:lang w:eastAsia="fr-FR"/>
        </w:rPr>
        <w:t>-5</w:t>
      </w:r>
      <w:r w:rsidR="00410078" w:rsidRPr="00410078">
        <w:rPr>
          <w:rFonts w:ascii="Simplified Arabic" w:eastAsia="Times New Roman" w:hAnsi="Simplified Arabic" w:cs="Simplified Arabic"/>
          <w:b/>
          <w:bCs/>
          <w:color w:val="222222"/>
          <w:sz w:val="32"/>
          <w:szCs w:val="32"/>
          <w:rtl/>
          <w:lang w:eastAsia="fr-FR"/>
        </w:rPr>
        <w:t>البحث في المصطلح والتعليم الجامعي</w:t>
      </w:r>
      <w:r w:rsidRPr="008F1AE5">
        <w:rPr>
          <w:rFonts w:ascii="Simplified Arabic" w:eastAsia="Times New Roman" w:hAnsi="Simplified Arabic" w:cs="Simplified Arabic" w:hint="cs"/>
          <w:b/>
          <w:bCs/>
          <w:color w:val="222222"/>
          <w:sz w:val="32"/>
          <w:szCs w:val="32"/>
          <w:rtl/>
          <w:lang w:eastAsia="fr-FR"/>
        </w:rPr>
        <w:t> </w:t>
      </w:r>
      <w:r w:rsidRPr="008F1AE5">
        <w:rPr>
          <w:rFonts w:ascii="Simplified Arabic" w:eastAsia="Times New Roman" w:hAnsi="Simplified Arabic" w:cs="Simplified Arabic"/>
          <w:b/>
          <w:bCs/>
          <w:color w:val="222222"/>
          <w:sz w:val="32"/>
          <w:szCs w:val="32"/>
          <w:lang w:eastAsia="fr-FR"/>
        </w:rPr>
        <w:t>:</w:t>
      </w:r>
    </w:p>
    <w:p w:rsid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يمثل ربط البحث المصطلحي بالمجال التعليمي أحد الآفاق الواعدة، حيث يركز على دراسة كيفية تدريس المصطلح، واستيعابه من قبل المتعلمين، ومدى تأثير الطرائق البيداغوجية في ترسيخ المفاهيم. ويتيح هذا المحور إمكان تطوير مناهج تعليمية قائمة على الوعي المصطلحي، وبناء كفاية مفاهيمية تمكّن الطلبة من توظيف المصطلح توظيفًا علميًا دقيقًا</w:t>
      </w:r>
      <w:r w:rsidRPr="00410078">
        <w:rPr>
          <w:rFonts w:ascii="Simplified Arabic" w:eastAsia="Times New Roman" w:hAnsi="Simplified Arabic" w:cs="Simplified Arabic"/>
          <w:color w:val="222222"/>
          <w:sz w:val="32"/>
          <w:szCs w:val="32"/>
          <w:lang w:eastAsia="fr-FR"/>
        </w:rPr>
        <w:t>.</w:t>
      </w:r>
    </w:p>
    <w:p w:rsidR="00321D89" w:rsidRPr="00410078" w:rsidRDefault="00321D89" w:rsidP="00321D89">
      <w:pPr>
        <w:shd w:val="clear" w:color="auto" w:fill="FFFFFF"/>
        <w:bidi/>
        <w:spacing w:after="0" w:line="240" w:lineRule="auto"/>
        <w:rPr>
          <w:rFonts w:ascii="Simplified Arabic" w:eastAsia="Times New Roman" w:hAnsi="Simplified Arabic" w:cs="Simplified Arabic"/>
          <w:color w:val="222222"/>
          <w:sz w:val="32"/>
          <w:szCs w:val="32"/>
          <w:lang w:eastAsia="fr-FR"/>
        </w:rPr>
      </w:pPr>
    </w:p>
    <w:p w:rsidR="00410078" w:rsidRPr="00410078" w:rsidRDefault="008F1AE5" w:rsidP="00410078">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lastRenderedPageBreak/>
        <w:t>-</w:t>
      </w:r>
      <w:r w:rsidRPr="008F1AE5">
        <w:rPr>
          <w:rFonts w:ascii="Simplified Arabic" w:eastAsia="Times New Roman" w:hAnsi="Simplified Arabic" w:cs="Simplified Arabic"/>
          <w:b/>
          <w:bCs/>
          <w:color w:val="222222"/>
          <w:sz w:val="32"/>
          <w:szCs w:val="32"/>
          <w:lang w:eastAsia="fr-FR"/>
        </w:rPr>
        <w:t>6</w:t>
      </w:r>
      <w:r w:rsidR="00410078" w:rsidRPr="00410078">
        <w:rPr>
          <w:rFonts w:ascii="Simplified Arabic" w:eastAsia="Times New Roman" w:hAnsi="Simplified Arabic" w:cs="Simplified Arabic"/>
          <w:b/>
          <w:bCs/>
          <w:color w:val="222222"/>
          <w:sz w:val="32"/>
          <w:szCs w:val="32"/>
          <w:rtl/>
          <w:lang w:eastAsia="fr-FR"/>
        </w:rPr>
        <w:t>آفاق البحث في المعاجم المصطلحية اللسانية</w:t>
      </w:r>
      <w:r w:rsidRPr="008F1AE5">
        <w:rPr>
          <w:rFonts w:ascii="Simplified Arabic" w:eastAsia="Times New Roman" w:hAnsi="Simplified Arabic" w:cs="Simplified Arabic" w:hint="cs"/>
          <w:b/>
          <w:bCs/>
          <w:color w:val="222222"/>
          <w:sz w:val="32"/>
          <w:szCs w:val="32"/>
          <w:rtl/>
          <w:lang w:eastAsia="fr-FR"/>
        </w:rPr>
        <w:t> </w:t>
      </w:r>
      <w:r w:rsidRPr="008F1AE5">
        <w:rPr>
          <w:rFonts w:ascii="Simplified Arabic" w:eastAsia="Times New Roman" w:hAnsi="Simplified Arabic" w:cs="Simplified Arabic"/>
          <w:b/>
          <w:bCs/>
          <w:color w:val="222222"/>
          <w:sz w:val="32"/>
          <w:szCs w:val="32"/>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تشكل المعاجم المصطلحية أداة مركزية في البحث المصطلحي، ويُعدّ تطوير معاجم لسانية متخصصة ومُحكَمة من أهم آفاق البحث المعاصر. ولا يقتصر هذا المجال على الجمع والتوثيق، بل يتعداه إلى دراسة طرائق التعريف، وتنظيم المداخل، وربط المصطلح بسياقه النظري والتطبيقي</w:t>
      </w:r>
      <w:r w:rsidR="008F1AE5">
        <w:rPr>
          <w:rStyle w:val="Appelnotedebasdep"/>
          <w:rFonts w:ascii="Simplified Arabic" w:eastAsia="Times New Roman" w:hAnsi="Simplified Arabic" w:cs="Simplified Arabic"/>
          <w:color w:val="222222"/>
          <w:sz w:val="32"/>
          <w:szCs w:val="32"/>
          <w:rtl/>
          <w:lang w:eastAsia="fr-FR"/>
        </w:rPr>
        <w:footnoteReference w:id="6"/>
      </w:r>
      <w:r w:rsidRPr="00410078">
        <w:rPr>
          <w:rFonts w:ascii="Simplified Arabic" w:eastAsia="Times New Roman" w:hAnsi="Simplified Arabic" w:cs="Simplified Arabic"/>
          <w:color w:val="222222"/>
          <w:sz w:val="32"/>
          <w:szCs w:val="32"/>
          <w:rtl/>
          <w:lang w:eastAsia="fr-FR"/>
        </w:rPr>
        <w:t>. كما يفتح المجال أمام توظيف التقنيات الرقمية في بناء معاجم إلكترونية تفاعلية</w:t>
      </w:r>
      <w:r w:rsidRPr="00410078">
        <w:rPr>
          <w:rFonts w:ascii="Simplified Arabic" w:eastAsia="Times New Roman" w:hAnsi="Simplified Arabic" w:cs="Simplified Arabic"/>
          <w:color w:val="222222"/>
          <w:sz w:val="32"/>
          <w:szCs w:val="32"/>
          <w:lang w:eastAsia="fr-FR"/>
        </w:rPr>
        <w:t>.</w:t>
      </w:r>
    </w:p>
    <w:p w:rsidR="00410078" w:rsidRPr="00410078" w:rsidRDefault="008F1AE5" w:rsidP="00410078">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8F1AE5">
        <w:rPr>
          <w:rFonts w:ascii="Simplified Arabic" w:eastAsia="Times New Roman" w:hAnsi="Simplified Arabic" w:cs="Simplified Arabic"/>
          <w:b/>
          <w:bCs/>
          <w:color w:val="222222"/>
          <w:sz w:val="32"/>
          <w:szCs w:val="32"/>
          <w:lang w:eastAsia="fr-FR"/>
        </w:rPr>
        <w:t>7</w:t>
      </w:r>
      <w:r w:rsidR="00410078" w:rsidRPr="00410078">
        <w:rPr>
          <w:rFonts w:ascii="Simplified Arabic" w:eastAsia="Times New Roman" w:hAnsi="Simplified Arabic" w:cs="Simplified Arabic"/>
          <w:b/>
          <w:bCs/>
          <w:color w:val="222222"/>
          <w:sz w:val="32"/>
          <w:szCs w:val="32"/>
          <w:rtl/>
          <w:lang w:eastAsia="fr-FR"/>
        </w:rPr>
        <w:t>المصطلح اللساني في ضوء المقاربة البينية</w:t>
      </w:r>
      <w:r w:rsidRPr="008F1AE5">
        <w:rPr>
          <w:rFonts w:ascii="Simplified Arabic" w:eastAsia="Times New Roman" w:hAnsi="Simplified Arabic" w:cs="Simplified Arabic" w:hint="cs"/>
          <w:b/>
          <w:bCs/>
          <w:color w:val="222222"/>
          <w:sz w:val="32"/>
          <w:szCs w:val="32"/>
          <w:rtl/>
          <w:lang w:eastAsia="fr-FR"/>
        </w:rPr>
        <w:t> </w:t>
      </w:r>
      <w:r w:rsidRPr="008F1AE5">
        <w:rPr>
          <w:rFonts w:ascii="Simplified Arabic" w:eastAsia="Times New Roman" w:hAnsi="Simplified Arabic" w:cs="Simplified Arabic"/>
          <w:b/>
          <w:bCs/>
          <w:color w:val="222222"/>
          <w:sz w:val="32"/>
          <w:szCs w:val="32"/>
          <w:lang w:eastAsia="fr-FR"/>
        </w:rPr>
        <w:t>:</w:t>
      </w:r>
    </w:p>
    <w:p w:rsidR="00410078" w:rsidRPr="00410078" w:rsidRDefault="00410078"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410078">
        <w:rPr>
          <w:rFonts w:ascii="Simplified Arabic" w:eastAsia="Times New Roman" w:hAnsi="Simplified Arabic" w:cs="Simplified Arabic"/>
          <w:color w:val="222222"/>
          <w:sz w:val="32"/>
          <w:szCs w:val="32"/>
          <w:rtl/>
          <w:lang w:eastAsia="fr-FR"/>
        </w:rPr>
        <w:t>من الآفاق الحديثة للبحث المصطلحي اعتماد المقاربة البينية التي تنظر إلى المصطلح في تقاطعه مع علوم أخرى، مثل الفلسفة، والمنطق، وعلم الاجتماع، وعلوم المعرفة. ويسمح هذا التوجه بفهم أعمق للأبعاد الثقافية والمعرفية للمصطلح، ويكشف عن أثر السياق الحضاري في تشكيل المفاهيم اللسانية وتداولها</w:t>
      </w:r>
      <w:r w:rsidRPr="00410078">
        <w:rPr>
          <w:rFonts w:ascii="Simplified Arabic" w:eastAsia="Times New Roman" w:hAnsi="Simplified Arabic" w:cs="Simplified Arabic"/>
          <w:color w:val="222222"/>
          <w:sz w:val="32"/>
          <w:szCs w:val="32"/>
          <w:lang w:eastAsia="fr-FR"/>
        </w:rPr>
        <w:t>.</w:t>
      </w:r>
      <w:r w:rsidR="008F1AE5">
        <w:rPr>
          <w:rStyle w:val="Appelnotedebasdep"/>
          <w:rFonts w:ascii="Simplified Arabic" w:eastAsia="Times New Roman" w:hAnsi="Simplified Arabic" w:cs="Simplified Arabic"/>
          <w:color w:val="222222"/>
          <w:sz w:val="32"/>
          <w:szCs w:val="32"/>
          <w:lang w:eastAsia="fr-FR"/>
        </w:rPr>
        <w:footnoteReference w:id="7"/>
      </w:r>
    </w:p>
    <w:p w:rsidR="00410078" w:rsidRPr="00410078" w:rsidRDefault="008F1AE5" w:rsidP="00410078">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 xml:space="preserve">     </w:t>
      </w:r>
      <w:r>
        <w:rPr>
          <w:rFonts w:ascii="Simplified Arabic" w:eastAsia="Times New Roman" w:hAnsi="Simplified Arabic" w:cs="Simplified Arabic"/>
          <w:color w:val="222222"/>
          <w:sz w:val="32"/>
          <w:szCs w:val="32"/>
          <w:rtl/>
          <w:lang w:eastAsia="fr-FR"/>
        </w:rPr>
        <w:t xml:space="preserve">يتضح من خلال </w:t>
      </w:r>
      <w:r>
        <w:rPr>
          <w:rFonts w:ascii="Simplified Arabic" w:eastAsia="Times New Roman" w:hAnsi="Simplified Arabic" w:cs="Simplified Arabic" w:hint="cs"/>
          <w:color w:val="222222"/>
          <w:sz w:val="32"/>
          <w:szCs w:val="32"/>
          <w:rtl/>
          <w:lang w:eastAsia="fr-FR" w:bidi="ar-DZ"/>
        </w:rPr>
        <w:t>ما سبق ذكره</w:t>
      </w:r>
      <w:r w:rsidR="00410078" w:rsidRPr="00410078">
        <w:rPr>
          <w:rFonts w:ascii="Simplified Arabic" w:eastAsia="Times New Roman" w:hAnsi="Simplified Arabic" w:cs="Simplified Arabic"/>
          <w:color w:val="222222"/>
          <w:sz w:val="32"/>
          <w:szCs w:val="32"/>
          <w:rtl/>
          <w:lang w:eastAsia="fr-FR"/>
        </w:rPr>
        <w:t xml:space="preserve"> أن آفاق البحث في المصطلح، ولا سيما المصطلح اللساني، آفاق واسعة ومتجددة، تتجاوز حدود الضبط اللغوي إلى مساءلة المعرفة ذاتها. ويظل البحث المصطلحي رهانًا علميًا وثقافيًا يسهم في تطوير الدرس اللساني، وترسيخ التواصل العلمي، وبناء معرفة دقيقة قادرة على مواكبة التحولات المعرفية المعاصرة</w:t>
      </w:r>
      <w:r w:rsidR="00410078" w:rsidRPr="00410078">
        <w:rPr>
          <w:rFonts w:ascii="Simplified Arabic" w:eastAsia="Times New Roman" w:hAnsi="Simplified Arabic" w:cs="Simplified Arabic"/>
          <w:color w:val="222222"/>
          <w:sz w:val="32"/>
          <w:szCs w:val="32"/>
          <w:lang w:eastAsia="fr-FR"/>
        </w:rPr>
        <w:t>.</w:t>
      </w:r>
    </w:p>
    <w:p w:rsidR="0066085F" w:rsidRPr="00410078" w:rsidRDefault="00BB355F">
      <w:pPr>
        <w:rPr>
          <w:rFonts w:ascii="Simplified Arabic" w:hAnsi="Simplified Arabic" w:cs="Simplified Arabic"/>
          <w:sz w:val="32"/>
          <w:szCs w:val="32"/>
        </w:rPr>
      </w:pPr>
    </w:p>
    <w:sectPr w:rsidR="0066085F" w:rsidRPr="00410078" w:rsidSect="00FB16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55F" w:rsidRDefault="00BB355F" w:rsidP="00410078">
      <w:pPr>
        <w:spacing w:after="0" w:line="240" w:lineRule="auto"/>
      </w:pPr>
      <w:r>
        <w:separator/>
      </w:r>
    </w:p>
  </w:endnote>
  <w:endnote w:type="continuationSeparator" w:id="1">
    <w:p w:rsidR="00BB355F" w:rsidRDefault="00BB355F" w:rsidP="004100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55F" w:rsidRDefault="00BB355F" w:rsidP="00410078">
      <w:pPr>
        <w:spacing w:after="0" w:line="240" w:lineRule="auto"/>
      </w:pPr>
      <w:r>
        <w:separator/>
      </w:r>
    </w:p>
  </w:footnote>
  <w:footnote w:type="continuationSeparator" w:id="1">
    <w:p w:rsidR="00BB355F" w:rsidRDefault="00BB355F" w:rsidP="00410078">
      <w:pPr>
        <w:spacing w:after="0" w:line="240" w:lineRule="auto"/>
      </w:pPr>
      <w:r>
        <w:continuationSeparator/>
      </w:r>
    </w:p>
  </w:footnote>
  <w:footnote w:id="2">
    <w:p w:rsidR="00410078" w:rsidRPr="001045D8" w:rsidRDefault="00410078" w:rsidP="00410078">
      <w:pPr>
        <w:pStyle w:val="Notedebasdepage"/>
        <w:bidi/>
        <w:rPr>
          <w:rFonts w:ascii="Simplified Arabic" w:hAnsi="Simplified Arabic" w:cs="Simplified Arabic"/>
          <w:sz w:val="24"/>
          <w:szCs w:val="24"/>
          <w:lang w:bidi="ar-DZ"/>
        </w:rPr>
      </w:pPr>
      <w:r>
        <w:rPr>
          <w:rStyle w:val="Appelnotedebasdep"/>
        </w:rPr>
        <w:footnoteRef/>
      </w:r>
      <w:r>
        <w:t xml:space="preserve"> </w:t>
      </w:r>
      <w:r w:rsidRPr="001045D8">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ينظر: مصطفى طاهر حيادرة، من قضايا المصطلح العرب، واقع المصطلح العربي قديما وحديثا عالم الكتب، ج، د ط، الأردن ، 2003، ص 39.</w:t>
      </w:r>
    </w:p>
    <w:p w:rsidR="00410078" w:rsidRPr="00410078" w:rsidRDefault="00410078" w:rsidP="00410078">
      <w:pPr>
        <w:pStyle w:val="Notedebasdepage"/>
        <w:bidi/>
      </w:pPr>
    </w:p>
  </w:footnote>
  <w:footnote w:id="3">
    <w:p w:rsidR="008F25A3" w:rsidRPr="001045D8" w:rsidRDefault="008F25A3" w:rsidP="008F25A3">
      <w:pPr>
        <w:pStyle w:val="Notedebasdepage"/>
        <w:bidi/>
        <w:rPr>
          <w:rFonts w:ascii="Simplified Arabic" w:hAnsi="Simplified Arabic" w:cs="Simplified Arabic"/>
          <w:sz w:val="24"/>
          <w:szCs w:val="24"/>
          <w:lang w:bidi="ar-DZ"/>
        </w:rPr>
      </w:pPr>
      <w:r>
        <w:rPr>
          <w:rStyle w:val="Appelnotedebasdep"/>
        </w:rPr>
        <w:footnoteRef/>
      </w:r>
      <w:r>
        <w:t xml:space="preserve"> </w:t>
      </w:r>
      <w:r w:rsidRPr="001045D8">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ينظر: علي القاسمي، علم المصطلح؛ أسسه النظرية وتطبيقاته العملية، مكتبة لبنان، ناشرون، بيروت، 2008، ص 267.</w:t>
      </w:r>
    </w:p>
    <w:p w:rsidR="008F25A3" w:rsidRPr="008F25A3" w:rsidRDefault="008F25A3" w:rsidP="008F25A3">
      <w:pPr>
        <w:pStyle w:val="Notedebasdepage"/>
        <w:bidi/>
      </w:pPr>
    </w:p>
  </w:footnote>
  <w:footnote w:id="4">
    <w:p w:rsidR="00CF160A" w:rsidRPr="008F1AE5" w:rsidRDefault="00CF160A" w:rsidP="00CF160A">
      <w:pPr>
        <w:pStyle w:val="Notedebasdepage"/>
        <w:bidi/>
        <w:rPr>
          <w:sz w:val="24"/>
          <w:szCs w:val="24"/>
        </w:rPr>
      </w:pPr>
      <w:r>
        <w:rPr>
          <w:rStyle w:val="Appelnotedebasdep"/>
        </w:rPr>
        <w:footnoteRef/>
      </w:r>
      <w:r>
        <w:t xml:space="preserve">  </w:t>
      </w:r>
      <w:r>
        <w:rPr>
          <w:rFonts w:ascii="Simplified Arabic" w:hAnsi="Simplified Arabic" w:cs="Simplified Arabic" w:hint="cs"/>
          <w:sz w:val="24"/>
          <w:szCs w:val="24"/>
          <w:rtl/>
          <w:lang w:bidi="ar-DZ"/>
        </w:rPr>
        <w:t xml:space="preserve">محمود فهمي حجازي، الأسس اللغوية </w:t>
      </w:r>
      <w:r w:rsidRPr="008F1AE5">
        <w:rPr>
          <w:rFonts w:ascii="Simplified Arabic" w:hAnsi="Simplified Arabic" w:cs="Simplified Arabic" w:hint="cs"/>
          <w:sz w:val="24"/>
          <w:szCs w:val="24"/>
          <w:rtl/>
          <w:lang w:bidi="ar-DZ"/>
        </w:rPr>
        <w:t>لعلم المصطلح، مكتبة غريب، القاهرة، (د ط)، (د ت)، ص 11.</w:t>
      </w:r>
    </w:p>
  </w:footnote>
  <w:footnote w:id="5">
    <w:p w:rsidR="008665AA" w:rsidRPr="001045D8" w:rsidRDefault="008665AA" w:rsidP="008665AA">
      <w:pPr>
        <w:pStyle w:val="Notedebasdepage"/>
        <w:bidi/>
        <w:rPr>
          <w:rFonts w:ascii="Simplified Arabic" w:hAnsi="Simplified Arabic" w:cs="Simplified Arabic"/>
          <w:sz w:val="24"/>
          <w:szCs w:val="24"/>
          <w:lang w:bidi="ar-DZ"/>
        </w:rPr>
      </w:pPr>
      <w:r w:rsidRPr="008F1AE5">
        <w:rPr>
          <w:rStyle w:val="Appelnotedebasdep"/>
          <w:sz w:val="24"/>
          <w:szCs w:val="24"/>
        </w:rPr>
        <w:footnoteRef/>
      </w:r>
      <w:r w:rsidRPr="008F1AE5">
        <w:rPr>
          <w:sz w:val="24"/>
          <w:szCs w:val="24"/>
        </w:rPr>
        <w:t xml:space="preserve"> </w:t>
      </w:r>
      <w:r w:rsidRPr="008F1AE5">
        <w:rPr>
          <w:rFonts w:ascii="Simplified Arabic" w:hAnsi="Simplified Arabic" w:cs="Simplified Arabic"/>
          <w:sz w:val="24"/>
          <w:szCs w:val="24"/>
          <w:rtl/>
          <w:lang w:bidi="ar-DZ"/>
        </w:rPr>
        <w:t xml:space="preserve">- </w:t>
      </w:r>
      <w:r w:rsidRPr="008F1AE5">
        <w:rPr>
          <w:rFonts w:ascii="Simplified Arabic" w:hAnsi="Simplified Arabic" w:cs="Simplified Arabic" w:hint="cs"/>
          <w:sz w:val="24"/>
          <w:szCs w:val="24"/>
          <w:rtl/>
          <w:lang w:bidi="ar-DZ"/>
        </w:rPr>
        <w:t>فريدة ديب، المصطلح اللساني في المعجم الموحّد للمصطلحات اللسانية نقد وتحليل، رسالة ماجستير في اللغة والأدب</w:t>
      </w:r>
      <w:r>
        <w:rPr>
          <w:rFonts w:ascii="Simplified Arabic" w:hAnsi="Simplified Arabic" w:cs="Simplified Arabic" w:hint="cs"/>
          <w:sz w:val="24"/>
          <w:szCs w:val="24"/>
          <w:rtl/>
          <w:lang w:bidi="ar-DZ"/>
        </w:rPr>
        <w:t xml:space="preserve"> العربي، تخصص المعجمية العربية، جامعة ورقلة، 2012، الجزائر، ص 23.</w:t>
      </w:r>
    </w:p>
    <w:p w:rsidR="008665AA" w:rsidRPr="008665AA" w:rsidRDefault="008665AA" w:rsidP="008665AA">
      <w:pPr>
        <w:pStyle w:val="Notedebasdepage"/>
        <w:bidi/>
      </w:pPr>
    </w:p>
  </w:footnote>
  <w:footnote w:id="6">
    <w:p w:rsidR="008F1AE5" w:rsidRPr="001045D8" w:rsidRDefault="008F1AE5" w:rsidP="008F1AE5">
      <w:pPr>
        <w:pStyle w:val="Notedebasdepage"/>
        <w:bidi/>
        <w:rPr>
          <w:rFonts w:ascii="Simplified Arabic" w:hAnsi="Simplified Arabic" w:cs="Simplified Arabic"/>
          <w:sz w:val="24"/>
          <w:szCs w:val="24"/>
          <w:lang w:bidi="ar-DZ"/>
        </w:rPr>
      </w:pPr>
      <w:r>
        <w:rPr>
          <w:rStyle w:val="Appelnotedebasdep"/>
        </w:rPr>
        <w:footnoteRef/>
      </w:r>
      <w:r>
        <w:t xml:space="preserve"> </w:t>
      </w:r>
      <w:r w:rsidRPr="001045D8">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عباس عبد الحليم عباس، إشارات إلى مسألة علم المصطلح وتطويره، مجلة الثقافة العربية، ع 03، السنة 17، شعبان، رمضان 13999ه/ مارس 1990م، ص 87.</w:t>
      </w:r>
    </w:p>
    <w:p w:rsidR="008F1AE5" w:rsidRPr="008F1AE5" w:rsidRDefault="008F1AE5" w:rsidP="008F1AE5">
      <w:pPr>
        <w:pStyle w:val="Notedebasdepage"/>
        <w:bidi/>
      </w:pPr>
    </w:p>
  </w:footnote>
  <w:footnote w:id="7">
    <w:p w:rsidR="008F1AE5" w:rsidRPr="001045D8" w:rsidRDefault="008F1AE5" w:rsidP="008F1AE5">
      <w:pPr>
        <w:pStyle w:val="Notedebasdepage"/>
        <w:bidi/>
        <w:rPr>
          <w:rFonts w:ascii="Simplified Arabic" w:hAnsi="Simplified Arabic" w:cs="Simplified Arabic"/>
          <w:sz w:val="24"/>
          <w:szCs w:val="24"/>
          <w:lang w:bidi="ar-DZ"/>
        </w:rPr>
      </w:pPr>
      <w:r>
        <w:rPr>
          <w:rStyle w:val="Appelnotedebasdep"/>
        </w:rPr>
        <w:footnoteRef/>
      </w:r>
      <w:r>
        <w:t xml:space="preserve"> </w:t>
      </w:r>
      <w:r>
        <w:rPr>
          <w:rFonts w:ascii="Simplified Arabic" w:hAnsi="Simplified Arabic" w:cs="Simplified Arabic" w:hint="cs"/>
          <w:sz w:val="24"/>
          <w:szCs w:val="24"/>
          <w:rtl/>
          <w:lang w:bidi="ar-DZ"/>
        </w:rPr>
        <w:t>لعبيدي بو عبد الله، مدخل إلى علم المصطلح والمصطلحية، دار الأصل للطباعة والنشر والتوزيع، تيزي وزو، الجزائر، 2012، ص 27.</w:t>
      </w:r>
    </w:p>
    <w:p w:rsidR="008F1AE5" w:rsidRPr="008F1AE5" w:rsidRDefault="008F1AE5" w:rsidP="008F1AE5">
      <w:pPr>
        <w:pStyle w:val="Notedebasdepage"/>
        <w:bidi/>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10078"/>
    <w:rsid w:val="00310912"/>
    <w:rsid w:val="00321D89"/>
    <w:rsid w:val="003E262A"/>
    <w:rsid w:val="00410078"/>
    <w:rsid w:val="004140D8"/>
    <w:rsid w:val="008665AA"/>
    <w:rsid w:val="008F1AE5"/>
    <w:rsid w:val="008F25A3"/>
    <w:rsid w:val="00BB355F"/>
    <w:rsid w:val="00CF160A"/>
    <w:rsid w:val="00FB161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61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41007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10078"/>
    <w:rPr>
      <w:sz w:val="20"/>
      <w:szCs w:val="20"/>
    </w:rPr>
  </w:style>
  <w:style w:type="character" w:styleId="Appelnotedebasdep">
    <w:name w:val="footnote reference"/>
    <w:basedOn w:val="Policepardfaut"/>
    <w:uiPriority w:val="99"/>
    <w:semiHidden/>
    <w:unhideWhenUsed/>
    <w:rsid w:val="00410078"/>
    <w:rPr>
      <w:vertAlign w:val="superscript"/>
    </w:rPr>
  </w:style>
</w:styles>
</file>

<file path=word/webSettings.xml><?xml version="1.0" encoding="utf-8"?>
<w:webSettings xmlns:r="http://schemas.openxmlformats.org/officeDocument/2006/relationships" xmlns:w="http://schemas.openxmlformats.org/wordprocessingml/2006/main">
  <w:divs>
    <w:div w:id="738941315">
      <w:bodyDiv w:val="1"/>
      <w:marLeft w:val="0"/>
      <w:marRight w:val="0"/>
      <w:marTop w:val="0"/>
      <w:marBottom w:val="0"/>
      <w:divBdr>
        <w:top w:val="none" w:sz="0" w:space="0" w:color="auto"/>
        <w:left w:val="none" w:sz="0" w:space="0" w:color="auto"/>
        <w:bottom w:val="none" w:sz="0" w:space="0" w:color="auto"/>
        <w:right w:val="none" w:sz="0" w:space="0" w:color="auto"/>
      </w:divBdr>
      <w:divsChild>
        <w:div w:id="1668095987">
          <w:marLeft w:val="0"/>
          <w:marRight w:val="0"/>
          <w:marTop w:val="0"/>
          <w:marBottom w:val="0"/>
          <w:divBdr>
            <w:top w:val="none" w:sz="0" w:space="0" w:color="auto"/>
            <w:left w:val="none" w:sz="0" w:space="0" w:color="auto"/>
            <w:bottom w:val="none" w:sz="0" w:space="0" w:color="auto"/>
            <w:right w:val="none" w:sz="0" w:space="0" w:color="auto"/>
          </w:divBdr>
        </w:div>
        <w:div w:id="800268478">
          <w:marLeft w:val="0"/>
          <w:marRight w:val="0"/>
          <w:marTop w:val="0"/>
          <w:marBottom w:val="0"/>
          <w:divBdr>
            <w:top w:val="none" w:sz="0" w:space="0" w:color="auto"/>
            <w:left w:val="none" w:sz="0" w:space="0" w:color="auto"/>
            <w:bottom w:val="none" w:sz="0" w:space="0" w:color="auto"/>
            <w:right w:val="none" w:sz="0" w:space="0" w:color="auto"/>
          </w:divBdr>
        </w:div>
        <w:div w:id="608975400">
          <w:marLeft w:val="0"/>
          <w:marRight w:val="0"/>
          <w:marTop w:val="0"/>
          <w:marBottom w:val="0"/>
          <w:divBdr>
            <w:top w:val="none" w:sz="0" w:space="0" w:color="auto"/>
            <w:left w:val="none" w:sz="0" w:space="0" w:color="auto"/>
            <w:bottom w:val="none" w:sz="0" w:space="0" w:color="auto"/>
            <w:right w:val="none" w:sz="0" w:space="0" w:color="auto"/>
          </w:divBdr>
        </w:div>
        <w:div w:id="654604445">
          <w:marLeft w:val="0"/>
          <w:marRight w:val="0"/>
          <w:marTop w:val="0"/>
          <w:marBottom w:val="0"/>
          <w:divBdr>
            <w:top w:val="none" w:sz="0" w:space="0" w:color="auto"/>
            <w:left w:val="none" w:sz="0" w:space="0" w:color="auto"/>
            <w:bottom w:val="none" w:sz="0" w:space="0" w:color="auto"/>
            <w:right w:val="none" w:sz="0" w:space="0" w:color="auto"/>
          </w:divBdr>
        </w:div>
        <w:div w:id="1406757036">
          <w:marLeft w:val="0"/>
          <w:marRight w:val="0"/>
          <w:marTop w:val="0"/>
          <w:marBottom w:val="0"/>
          <w:divBdr>
            <w:top w:val="none" w:sz="0" w:space="0" w:color="auto"/>
            <w:left w:val="none" w:sz="0" w:space="0" w:color="auto"/>
            <w:bottom w:val="none" w:sz="0" w:space="0" w:color="auto"/>
            <w:right w:val="none" w:sz="0" w:space="0" w:color="auto"/>
          </w:divBdr>
        </w:div>
        <w:div w:id="956716331">
          <w:marLeft w:val="0"/>
          <w:marRight w:val="0"/>
          <w:marTop w:val="0"/>
          <w:marBottom w:val="0"/>
          <w:divBdr>
            <w:top w:val="none" w:sz="0" w:space="0" w:color="auto"/>
            <w:left w:val="none" w:sz="0" w:space="0" w:color="auto"/>
            <w:bottom w:val="none" w:sz="0" w:space="0" w:color="auto"/>
            <w:right w:val="none" w:sz="0" w:space="0" w:color="auto"/>
          </w:divBdr>
        </w:div>
        <w:div w:id="1855725385">
          <w:marLeft w:val="0"/>
          <w:marRight w:val="0"/>
          <w:marTop w:val="0"/>
          <w:marBottom w:val="0"/>
          <w:divBdr>
            <w:top w:val="none" w:sz="0" w:space="0" w:color="auto"/>
            <w:left w:val="none" w:sz="0" w:space="0" w:color="auto"/>
            <w:bottom w:val="none" w:sz="0" w:space="0" w:color="auto"/>
            <w:right w:val="none" w:sz="0" w:space="0" w:color="auto"/>
          </w:divBdr>
        </w:div>
        <w:div w:id="963655578">
          <w:marLeft w:val="0"/>
          <w:marRight w:val="0"/>
          <w:marTop w:val="0"/>
          <w:marBottom w:val="0"/>
          <w:divBdr>
            <w:top w:val="none" w:sz="0" w:space="0" w:color="auto"/>
            <w:left w:val="none" w:sz="0" w:space="0" w:color="auto"/>
            <w:bottom w:val="none" w:sz="0" w:space="0" w:color="auto"/>
            <w:right w:val="none" w:sz="0" w:space="0" w:color="auto"/>
          </w:divBdr>
        </w:div>
        <w:div w:id="452942258">
          <w:marLeft w:val="0"/>
          <w:marRight w:val="0"/>
          <w:marTop w:val="0"/>
          <w:marBottom w:val="0"/>
          <w:divBdr>
            <w:top w:val="none" w:sz="0" w:space="0" w:color="auto"/>
            <w:left w:val="none" w:sz="0" w:space="0" w:color="auto"/>
            <w:bottom w:val="none" w:sz="0" w:space="0" w:color="auto"/>
            <w:right w:val="none" w:sz="0" w:space="0" w:color="auto"/>
          </w:divBdr>
        </w:div>
        <w:div w:id="446196314">
          <w:marLeft w:val="0"/>
          <w:marRight w:val="0"/>
          <w:marTop w:val="0"/>
          <w:marBottom w:val="0"/>
          <w:divBdr>
            <w:top w:val="none" w:sz="0" w:space="0" w:color="auto"/>
            <w:left w:val="none" w:sz="0" w:space="0" w:color="auto"/>
            <w:bottom w:val="none" w:sz="0" w:space="0" w:color="auto"/>
            <w:right w:val="none" w:sz="0" w:space="0" w:color="auto"/>
          </w:divBdr>
        </w:div>
        <w:div w:id="486551340">
          <w:marLeft w:val="0"/>
          <w:marRight w:val="0"/>
          <w:marTop w:val="0"/>
          <w:marBottom w:val="0"/>
          <w:divBdr>
            <w:top w:val="none" w:sz="0" w:space="0" w:color="auto"/>
            <w:left w:val="none" w:sz="0" w:space="0" w:color="auto"/>
            <w:bottom w:val="none" w:sz="0" w:space="0" w:color="auto"/>
            <w:right w:val="none" w:sz="0" w:space="0" w:color="auto"/>
          </w:divBdr>
        </w:div>
        <w:div w:id="1405638136">
          <w:marLeft w:val="0"/>
          <w:marRight w:val="0"/>
          <w:marTop w:val="0"/>
          <w:marBottom w:val="0"/>
          <w:divBdr>
            <w:top w:val="none" w:sz="0" w:space="0" w:color="auto"/>
            <w:left w:val="none" w:sz="0" w:space="0" w:color="auto"/>
            <w:bottom w:val="none" w:sz="0" w:space="0" w:color="auto"/>
            <w:right w:val="none" w:sz="0" w:space="0" w:color="auto"/>
          </w:divBdr>
        </w:div>
        <w:div w:id="870874922">
          <w:marLeft w:val="0"/>
          <w:marRight w:val="0"/>
          <w:marTop w:val="0"/>
          <w:marBottom w:val="0"/>
          <w:divBdr>
            <w:top w:val="none" w:sz="0" w:space="0" w:color="auto"/>
            <w:left w:val="none" w:sz="0" w:space="0" w:color="auto"/>
            <w:bottom w:val="none" w:sz="0" w:space="0" w:color="auto"/>
            <w:right w:val="none" w:sz="0" w:space="0" w:color="auto"/>
          </w:divBdr>
        </w:div>
        <w:div w:id="358287141">
          <w:marLeft w:val="0"/>
          <w:marRight w:val="0"/>
          <w:marTop w:val="0"/>
          <w:marBottom w:val="0"/>
          <w:divBdr>
            <w:top w:val="none" w:sz="0" w:space="0" w:color="auto"/>
            <w:left w:val="none" w:sz="0" w:space="0" w:color="auto"/>
            <w:bottom w:val="none" w:sz="0" w:space="0" w:color="auto"/>
            <w:right w:val="none" w:sz="0" w:space="0" w:color="auto"/>
          </w:divBdr>
        </w:div>
        <w:div w:id="246303758">
          <w:marLeft w:val="0"/>
          <w:marRight w:val="0"/>
          <w:marTop w:val="0"/>
          <w:marBottom w:val="0"/>
          <w:divBdr>
            <w:top w:val="none" w:sz="0" w:space="0" w:color="auto"/>
            <w:left w:val="none" w:sz="0" w:space="0" w:color="auto"/>
            <w:bottom w:val="none" w:sz="0" w:space="0" w:color="auto"/>
            <w:right w:val="none" w:sz="0" w:space="0" w:color="auto"/>
          </w:divBdr>
        </w:div>
        <w:div w:id="1156190280">
          <w:marLeft w:val="0"/>
          <w:marRight w:val="0"/>
          <w:marTop w:val="0"/>
          <w:marBottom w:val="0"/>
          <w:divBdr>
            <w:top w:val="none" w:sz="0" w:space="0" w:color="auto"/>
            <w:left w:val="none" w:sz="0" w:space="0" w:color="auto"/>
            <w:bottom w:val="none" w:sz="0" w:space="0" w:color="auto"/>
            <w:right w:val="none" w:sz="0" w:space="0" w:color="auto"/>
          </w:divBdr>
        </w:div>
        <w:div w:id="476187757">
          <w:marLeft w:val="0"/>
          <w:marRight w:val="0"/>
          <w:marTop w:val="0"/>
          <w:marBottom w:val="0"/>
          <w:divBdr>
            <w:top w:val="none" w:sz="0" w:space="0" w:color="auto"/>
            <w:left w:val="none" w:sz="0" w:space="0" w:color="auto"/>
            <w:bottom w:val="none" w:sz="0" w:space="0" w:color="auto"/>
            <w:right w:val="none" w:sz="0" w:space="0" w:color="auto"/>
          </w:divBdr>
        </w:div>
        <w:div w:id="776565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4DE47-1736-46F3-AEA6-D8363802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603</Words>
  <Characters>3320</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21</cp:revision>
  <dcterms:created xsi:type="dcterms:W3CDTF">2026-01-21T07:16:00Z</dcterms:created>
  <dcterms:modified xsi:type="dcterms:W3CDTF">2026-01-21T07:37:00Z</dcterms:modified>
</cp:coreProperties>
</file>