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BC7" w:rsidRDefault="00A06BC7" w:rsidP="00A06BC7">
      <w:pPr>
        <w:pStyle w:val="Paragraphedeliste"/>
        <w:jc w:val="center"/>
        <w:rPr>
          <w:rFonts w:ascii="Traditional Arabic" w:hAnsi="Traditional Arabic" w:cs="Traditional Arabic" w:hint="cs"/>
          <w:b/>
          <w:bCs/>
          <w:sz w:val="36"/>
          <w:szCs w:val="36"/>
          <w:rtl/>
          <w:lang w:bidi="ar-DZ"/>
        </w:rPr>
      </w:pPr>
      <w:r w:rsidRPr="00A06BC7">
        <w:rPr>
          <w:rFonts w:ascii="Traditional Arabic" w:hAnsi="Traditional Arabic" w:cs="Traditional Arabic" w:hint="cs"/>
          <w:b/>
          <w:bCs/>
          <w:sz w:val="36"/>
          <w:szCs w:val="36"/>
          <w:rtl/>
          <w:lang w:bidi="ar-DZ"/>
        </w:rPr>
        <w:t>المحاضرة الرابعة عشرة :الجهود العربية في التحليل السيميائي</w:t>
      </w:r>
    </w:p>
    <w:p w:rsidR="00A06BC7" w:rsidRDefault="00A06BC7" w:rsidP="00A06BC7">
      <w:pPr>
        <w:pStyle w:val="Paragraphedeliste"/>
        <w:jc w:val="both"/>
        <w:rPr>
          <w:rFonts w:ascii="Traditional Arabic" w:hAnsi="Traditional Arabic" w:cs="Traditional Arabic" w:hint="cs"/>
          <w:b/>
          <w:bCs/>
          <w:sz w:val="36"/>
          <w:szCs w:val="36"/>
          <w:rtl/>
          <w:lang w:bidi="ar-DZ"/>
        </w:rPr>
      </w:pPr>
    </w:p>
    <w:p w:rsidR="00A06BC7" w:rsidRDefault="00A06BC7" w:rsidP="00A06BC7">
      <w:pPr>
        <w:pStyle w:val="Paragraphedeliste"/>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 xml:space="preserve">-تمهيد </w:t>
      </w:r>
      <w:r w:rsidR="00983AFE">
        <w:rPr>
          <w:rFonts w:ascii="Traditional Arabic" w:hAnsi="Traditional Arabic" w:cs="Traditional Arabic" w:hint="cs"/>
          <w:b/>
          <w:bCs/>
          <w:sz w:val="36"/>
          <w:szCs w:val="36"/>
          <w:rtl/>
          <w:lang w:bidi="ar-DZ"/>
        </w:rPr>
        <w:t>:</w:t>
      </w:r>
    </w:p>
    <w:p w:rsidR="00983AFE" w:rsidRPr="00983AFE" w:rsidRDefault="00983AFE" w:rsidP="00983AFE">
      <w:pPr>
        <w:pStyle w:val="Paragraphedeliste"/>
        <w:spacing w:line="360" w:lineRule="auto"/>
        <w:ind w:left="41" w:firstLine="567"/>
        <w:jc w:val="both"/>
        <w:rPr>
          <w:rFonts w:ascii="Traditional Arabic" w:hAnsi="Traditional Arabic" w:cs="Traditional Arabic"/>
          <w:i/>
          <w:iCs/>
          <w:sz w:val="36"/>
          <w:szCs w:val="36"/>
          <w:rtl/>
          <w:lang w:val="fr-FR" w:bidi="ar-DZ"/>
        </w:rPr>
      </w:pPr>
      <w:r>
        <w:rPr>
          <w:rFonts w:ascii="Traditional Arabic" w:hAnsi="Traditional Arabic" w:cs="Traditional Arabic" w:hint="cs"/>
          <w:sz w:val="36"/>
          <w:szCs w:val="36"/>
          <w:rtl/>
          <w:lang w:val="fr-FR" w:bidi="ar-DZ"/>
        </w:rPr>
        <w:t xml:space="preserve">    </w:t>
      </w:r>
      <w:r w:rsidRPr="00983AFE">
        <w:rPr>
          <w:rFonts w:ascii="Traditional Arabic" w:hAnsi="Traditional Arabic" w:cs="Traditional Arabic"/>
          <w:sz w:val="36"/>
          <w:szCs w:val="36"/>
          <w:rtl/>
          <w:lang w:val="fr-FR" w:bidi="ar-DZ"/>
        </w:rPr>
        <w:t>لقد جاءت السميائية من أجل البحث في بنيات النص الأدبي و"لتتكفل بدراسة نظام علاماته،فتحاول أن تتعرف على كنهها وعلتها وكينونتها وعلاقتها بغيرها من العلامات ،فهي إذاك تهتم بالنص في حد ذاته بغض النظر عن كل المؤثرات الخارجية"</w:t>
      </w:r>
      <w:r>
        <w:rPr>
          <w:rStyle w:val="Appelnotedebasdep"/>
          <w:rFonts w:ascii="Traditional Arabic" w:hAnsi="Traditional Arabic" w:cs="Traditional Arabic"/>
          <w:sz w:val="36"/>
          <w:szCs w:val="36"/>
          <w:rtl/>
          <w:lang w:val="fr-FR" w:bidi="ar-DZ"/>
        </w:rPr>
        <w:footnoteReference w:customMarkFollows="1" w:id="2"/>
        <w:t>1</w:t>
      </w:r>
      <w:r w:rsidRPr="00983AFE">
        <w:rPr>
          <w:rFonts w:ascii="Traditional Arabic" w:hAnsi="Traditional Arabic" w:cs="Traditional Arabic"/>
          <w:sz w:val="36"/>
          <w:szCs w:val="36"/>
          <w:rtl/>
          <w:lang w:val="fr-FR" w:bidi="ar-DZ"/>
        </w:rPr>
        <w:t xml:space="preserve">،و يعتبر هذا الأمر هو الأساس الذي شكل أُطر النقد السيميائي ،و حدد ملامحه النظرية العامة،فكان </w:t>
      </w:r>
      <w:r w:rsidRPr="00983AFE">
        <w:rPr>
          <w:rFonts w:ascii="Traditional Arabic" w:hAnsi="Traditional Arabic" w:cs="Traditional Arabic"/>
          <w:b/>
          <w:bCs/>
          <w:sz w:val="36"/>
          <w:szCs w:val="36"/>
          <w:rtl/>
          <w:lang w:val="fr-FR" w:bidi="ar-DZ"/>
        </w:rPr>
        <w:t>المنهج السيميائي</w:t>
      </w:r>
      <w:r w:rsidRPr="00983AFE">
        <w:rPr>
          <w:rFonts w:ascii="Traditional Arabic" w:hAnsi="Traditional Arabic" w:cs="Traditional Arabic"/>
          <w:sz w:val="36"/>
          <w:szCs w:val="36"/>
          <w:rtl/>
          <w:lang w:val="fr-FR" w:bidi="ar-DZ"/>
        </w:rPr>
        <w:t xml:space="preserve"> سبيلا لتحليل النصوص وتفكيكها والبحث في نظامها لاستخلاص دلالاتها المتوارية ،إذن ما هي مجالات تطبيق السيميائية في النقد العربي خصوصا الجزائري؟ وكيف كانت ميزاتها؟. </w:t>
      </w:r>
    </w:p>
    <w:p w:rsidR="00983AFE" w:rsidRPr="00983AFE" w:rsidRDefault="00983AFE" w:rsidP="00983AFE">
      <w:pPr>
        <w:pStyle w:val="Paragraphedeliste"/>
        <w:numPr>
          <w:ilvl w:val="0"/>
          <w:numId w:val="3"/>
        </w:numPr>
        <w:spacing w:line="360" w:lineRule="auto"/>
        <w:jc w:val="both"/>
        <w:rPr>
          <w:rFonts w:ascii="Traditional Arabic" w:hAnsi="Traditional Arabic" w:cs="Traditional Arabic"/>
          <w:b/>
          <w:bCs/>
          <w:i/>
          <w:iCs/>
          <w:sz w:val="36"/>
          <w:szCs w:val="36"/>
          <w:rtl/>
          <w:lang w:bidi="ar-DZ"/>
        </w:rPr>
      </w:pPr>
      <w:r w:rsidRPr="00983AFE">
        <w:rPr>
          <w:rFonts w:ascii="Traditional Arabic" w:hAnsi="Traditional Arabic" w:cs="Traditional Arabic"/>
          <w:b/>
          <w:bCs/>
          <w:sz w:val="36"/>
          <w:szCs w:val="36"/>
          <w:rtl/>
          <w:lang w:bidi="ar-DZ"/>
        </w:rPr>
        <w:t>الممارسة التطبيقية الجزائرية للنقد السميائي :</w:t>
      </w:r>
    </w:p>
    <w:p w:rsidR="00983AFE" w:rsidRPr="00983AFE" w:rsidRDefault="00983AFE" w:rsidP="00983AFE">
      <w:pPr>
        <w:spacing w:line="360" w:lineRule="auto"/>
        <w:ind w:left="43" w:firstLine="425"/>
        <w:jc w:val="both"/>
        <w:rPr>
          <w:rFonts w:ascii="Traditional Arabic" w:hAnsi="Traditional Arabic" w:cs="Traditional Arabic"/>
          <w:i/>
          <w:iCs/>
          <w:sz w:val="36"/>
          <w:szCs w:val="36"/>
          <w:rtl/>
          <w:lang w:bidi="ar-DZ"/>
        </w:rPr>
      </w:pPr>
      <w:r w:rsidRPr="00983AFE">
        <w:rPr>
          <w:rFonts w:ascii="Traditional Arabic" w:hAnsi="Traditional Arabic" w:cs="Traditional Arabic"/>
          <w:sz w:val="36"/>
          <w:szCs w:val="36"/>
          <w:rtl/>
          <w:lang w:bidi="ar-DZ"/>
        </w:rPr>
        <w:t xml:space="preserve">     عرفت القراءة السيميائية طريقها للثقافة والفكر العربي "منذ منتصف السبعينات وأخذت تتأسس خلال الثمانيات عبر بوابة المغرب العربي"</w:t>
      </w:r>
      <w:r w:rsidRPr="00983AFE">
        <w:rPr>
          <w:rStyle w:val="Appelnotedebasdep"/>
          <w:rFonts w:ascii="Traditional Arabic" w:hAnsi="Traditional Arabic" w:cs="Traditional Arabic"/>
          <w:sz w:val="36"/>
          <w:szCs w:val="36"/>
          <w:rtl/>
          <w:lang w:bidi="ar-DZ"/>
        </w:rPr>
        <w:footnoteReference w:customMarkFollows="1" w:id="3"/>
        <w:t>2</w:t>
      </w:r>
      <w:r w:rsidRPr="00983AFE">
        <w:rPr>
          <w:rFonts w:ascii="Traditional Arabic" w:hAnsi="Traditional Arabic" w:cs="Traditional Arabic"/>
          <w:sz w:val="36"/>
          <w:szCs w:val="36"/>
          <w:rtl/>
          <w:lang w:bidi="ar-DZ"/>
        </w:rPr>
        <w:t xml:space="preserve">،أين برزت إسهامات النقد المغاربي في مجال المنهج السيميائي بشكل واضح ،فكان النقد الجزائري حاضرا بوجوده المكثف،وهذا من خلال نخبة من النقاد الجزائريين الذين عمدوا إلى مسايرة التطور المعرفي،والانفتاح على الفكر الغربي بكل ما فيه من توجهات واختلافات نقدية متباينة؛ إذ </w:t>
      </w:r>
      <w:r w:rsidRPr="00983AFE">
        <w:rPr>
          <w:rFonts w:ascii="Traditional Arabic" w:hAnsi="Traditional Arabic" w:cs="Traditional Arabic"/>
          <w:sz w:val="36"/>
          <w:szCs w:val="36"/>
          <w:rtl/>
          <w:lang w:bidi="ar-DZ"/>
        </w:rPr>
        <w:lastRenderedPageBreak/>
        <w:t>استهوت الناقد الجزائري إجراءات المنهج السيميائي،فانكب على دراسته والبحث فيه؛وتعددت الأبحاث والدراسات منهم من اكتفى بالترجمة،ومنهم من مال إلى تأسيس يتلاءم مع الفكر الغربي سواء من حيث تبني مصطلح بعينه -وفي أحيان أخرى اصطناع مصطلحات تتشابه مع الغربية- أو من خلال إسقاط المنهج السميائي على نصوص عربية كانت أم  جزائرية بكل أجناسها وأنواعها ،بحيث تبرز الممارسة التطبيقية للسميائية عند كل من:</w:t>
      </w:r>
    </w:p>
    <w:p w:rsidR="00983AFE" w:rsidRPr="00983AFE" w:rsidRDefault="00983AFE" w:rsidP="00983AFE">
      <w:pPr>
        <w:pStyle w:val="Paragraphedeliste"/>
        <w:numPr>
          <w:ilvl w:val="0"/>
          <w:numId w:val="4"/>
        </w:numPr>
        <w:spacing w:line="360" w:lineRule="auto"/>
        <w:jc w:val="both"/>
        <w:rPr>
          <w:rFonts w:ascii="Traditional Arabic" w:hAnsi="Traditional Arabic" w:cs="Traditional Arabic"/>
          <w:b/>
          <w:bCs/>
          <w:sz w:val="36"/>
          <w:szCs w:val="36"/>
          <w:rtl/>
          <w:lang w:bidi="ar-DZ"/>
        </w:rPr>
      </w:pPr>
      <w:r w:rsidRPr="00983AFE">
        <w:rPr>
          <w:rFonts w:ascii="Traditional Arabic" w:hAnsi="Traditional Arabic" w:cs="Traditional Arabic"/>
          <w:b/>
          <w:bCs/>
          <w:sz w:val="36"/>
          <w:szCs w:val="36"/>
          <w:rtl/>
          <w:lang w:bidi="ar-DZ"/>
        </w:rPr>
        <w:t>تجربة عبد القادر فيدوح :</w:t>
      </w:r>
    </w:p>
    <w:p w:rsidR="00983AFE" w:rsidRPr="00983AFE" w:rsidRDefault="00983AFE" w:rsidP="00983AFE">
      <w:pPr>
        <w:autoSpaceDE w:val="0"/>
        <w:autoSpaceDN w:val="0"/>
        <w:adjustRightInd w:val="0"/>
        <w:spacing w:after="0" w:line="360" w:lineRule="auto"/>
        <w:ind w:firstLine="566"/>
        <w:jc w:val="both"/>
        <w:rPr>
          <w:rFonts w:ascii="Traditional Arabic" w:hAnsi="Traditional Arabic" w:cs="Traditional Arabic"/>
          <w:i/>
          <w:iCs/>
          <w:sz w:val="36"/>
          <w:szCs w:val="36"/>
          <w:rtl/>
          <w:lang w:bidi="ar-DZ"/>
        </w:rPr>
      </w:pPr>
      <w:r w:rsidRPr="00983AFE">
        <w:rPr>
          <w:rFonts w:ascii="Traditional Arabic" w:hAnsi="Traditional Arabic" w:cs="Traditional Arabic"/>
          <w:sz w:val="36"/>
          <w:szCs w:val="36"/>
          <w:rtl/>
          <w:lang w:bidi="ar-DZ"/>
        </w:rPr>
        <w:t>اعتمد الناقد عبد القادر فيدوح في كتابه (دلائلية النص الأدبي– دراسة سيمائية للشعر الجزائري) على المنهج السيميائي من خلال تناوله لنص شعري قديم هو قصيدة لبكر بن حماد،حيث قدم فيدوح في جزء من كتابه جانبا نظريا لسيميائية النص الأدبي التي عرض فيه مختلف الجوانب والمصطلحات النظرية التي ارتكز عليها المنهج السيميائي</w:t>
      </w:r>
      <w:r w:rsidRPr="00983AFE">
        <w:rPr>
          <w:rStyle w:val="Appelnotedebasdep"/>
          <w:rFonts w:ascii="Traditional Arabic" w:hAnsi="Traditional Arabic" w:cs="Traditional Arabic"/>
          <w:sz w:val="36"/>
          <w:szCs w:val="36"/>
          <w:rtl/>
          <w:lang w:bidi="ar-DZ"/>
        </w:rPr>
        <w:footnoteReference w:customMarkFollows="1" w:id="4"/>
        <w:t>1</w:t>
      </w:r>
      <w:r w:rsidRPr="00983AFE">
        <w:rPr>
          <w:rFonts w:ascii="Traditional Arabic" w:hAnsi="Traditional Arabic" w:cs="Traditional Arabic"/>
          <w:sz w:val="36"/>
          <w:szCs w:val="36"/>
          <w:rtl/>
          <w:lang w:bidi="ar-DZ"/>
        </w:rPr>
        <w:t xml:space="preserve"> ، وقد</w:t>
      </w:r>
      <w:r w:rsidRPr="00983AFE">
        <w:rPr>
          <w:rFonts w:ascii="Traditional Arabic" w:hAnsi="Traditional Arabic" w:cs="Traditional Arabic"/>
          <w:sz w:val="36"/>
          <w:szCs w:val="36"/>
          <w:rtl/>
        </w:rPr>
        <w:t xml:space="preserve"> كان تحليله مبني على ثنائية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التقابل</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والتشاكل</w:t>
      </w:r>
      <w:r w:rsidRPr="00983AFE">
        <w:rPr>
          <w:rStyle w:val="Appelnotedebasdep"/>
          <w:rFonts w:ascii="Traditional Arabic" w:hAnsi="Traditional Arabic" w:cs="Traditional Arabic"/>
          <w:sz w:val="36"/>
          <w:szCs w:val="36"/>
          <w:rtl/>
        </w:rPr>
        <w:footnoteReference w:customMarkFollows="1" w:id="5"/>
        <w:t>2</w:t>
      </w:r>
      <w:r w:rsidRPr="00983AFE">
        <w:rPr>
          <w:rFonts w:ascii="Traditional Arabic" w:hAnsi="Traditional Arabic" w:cs="Traditional Arabic"/>
          <w:sz w:val="36"/>
          <w:szCs w:val="36"/>
          <w:rtl/>
        </w:rPr>
        <w:t>على</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مستوى</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الألفاظ</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والجمل ثم</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تقابل الألفاظ</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وتقابل</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الجمل،وهذا رغبة منه في رصد</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مجمل</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العلائق</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التضادية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والتنافرية</w:t>
      </w:r>
      <w:r w:rsidRPr="00983AFE">
        <w:rPr>
          <w:rFonts w:ascii="Traditional Arabic" w:hAnsi="Traditional Arabic" w:cs="Traditional Arabic"/>
          <w:sz w:val="36"/>
          <w:szCs w:val="36"/>
          <w:rtl/>
          <w:lang w:val="fr-FR"/>
        </w:rPr>
        <w:t>،</w:t>
      </w:r>
      <w:r w:rsidRPr="00983AFE">
        <w:rPr>
          <w:rFonts w:ascii="Traditional Arabic" w:hAnsi="Traditional Arabic" w:cs="Traditional Arabic"/>
          <w:sz w:val="36"/>
          <w:szCs w:val="36"/>
          <w:rtl/>
        </w:rPr>
        <w:t>واهتم</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بالوزن والإيقاع</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 xml:space="preserve">الخارجي </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والداخلي</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والتماثل</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الإيقاعي</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وأبعادها الجمالية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والدلالية</w:t>
      </w:r>
      <w:r w:rsidRPr="00983AFE">
        <w:rPr>
          <w:rStyle w:val="Appelnotedebasdep"/>
          <w:rFonts w:ascii="Traditional Arabic" w:hAnsi="Traditional Arabic" w:cs="Traditional Arabic"/>
          <w:sz w:val="36"/>
          <w:szCs w:val="36"/>
          <w:rtl/>
        </w:rPr>
        <w:footnoteReference w:customMarkFollows="1" w:id="6"/>
        <w:t>3</w:t>
      </w:r>
      <w:r w:rsidRPr="00983AFE">
        <w:rPr>
          <w:rFonts w:ascii="Traditional Arabic" w:hAnsi="Traditional Arabic" w:cs="Traditional Arabic"/>
          <w:sz w:val="36"/>
          <w:szCs w:val="36"/>
          <w:rtl/>
        </w:rPr>
        <w:t>،كما وظف مصطلح السمة الذي يعتبر من معطيات الاساسية السيميائية في مقاربته النصية ،وهذا ضمن سياق (السمة الصوفية – السمة الأنثوية – السمة الأسطورية- السمة الطفولية)</w:t>
      </w:r>
      <w:r>
        <w:rPr>
          <w:rStyle w:val="Appelnotedebasdep"/>
          <w:rFonts w:ascii="Traditional Arabic" w:hAnsi="Traditional Arabic" w:cs="Traditional Arabic"/>
          <w:sz w:val="36"/>
          <w:szCs w:val="36"/>
          <w:rtl/>
          <w:lang w:bidi="ar-DZ"/>
        </w:rPr>
        <w:footnoteReference w:customMarkFollows="1" w:id="7"/>
        <w:t>1</w:t>
      </w:r>
      <w:r w:rsidRPr="00983AFE">
        <w:rPr>
          <w:rFonts w:ascii="Traditional Arabic" w:hAnsi="Traditional Arabic" w:cs="Traditional Arabic"/>
          <w:sz w:val="36"/>
          <w:szCs w:val="36"/>
          <w:rtl/>
          <w:lang w:bidi="ar-DZ"/>
        </w:rPr>
        <w:t>.</w:t>
      </w:r>
    </w:p>
    <w:p w:rsidR="00983AFE" w:rsidRPr="00983AFE" w:rsidRDefault="00983AFE" w:rsidP="00983AFE">
      <w:pPr>
        <w:pStyle w:val="Paragraphedeliste"/>
        <w:numPr>
          <w:ilvl w:val="0"/>
          <w:numId w:val="4"/>
        </w:numPr>
        <w:autoSpaceDE w:val="0"/>
        <w:autoSpaceDN w:val="0"/>
        <w:adjustRightInd w:val="0"/>
        <w:spacing w:after="0" w:line="360" w:lineRule="auto"/>
        <w:jc w:val="both"/>
        <w:rPr>
          <w:rFonts w:ascii="Traditional Arabic" w:hAnsi="Traditional Arabic" w:cs="Traditional Arabic"/>
          <w:b/>
          <w:bCs/>
          <w:i/>
          <w:iCs/>
          <w:sz w:val="36"/>
          <w:szCs w:val="36"/>
          <w:rtl/>
          <w:lang w:bidi="ar-DZ"/>
        </w:rPr>
      </w:pPr>
      <w:r w:rsidRPr="00983AFE">
        <w:rPr>
          <w:rFonts w:ascii="Traditional Arabic" w:hAnsi="Traditional Arabic" w:cs="Traditional Arabic"/>
          <w:b/>
          <w:bCs/>
          <w:sz w:val="36"/>
          <w:szCs w:val="36"/>
          <w:rtl/>
          <w:lang w:bidi="ar-DZ"/>
        </w:rPr>
        <w:t>تجربة عبد الحميد بورايو  :</w:t>
      </w:r>
    </w:p>
    <w:p w:rsidR="00983AFE" w:rsidRPr="00983AFE" w:rsidRDefault="00983AFE" w:rsidP="00983AFE">
      <w:pPr>
        <w:spacing w:line="360" w:lineRule="auto"/>
        <w:ind w:firstLine="341"/>
        <w:jc w:val="both"/>
        <w:rPr>
          <w:rFonts w:ascii="Traditional Arabic" w:hAnsi="Traditional Arabic" w:cs="Traditional Arabic"/>
          <w:i/>
          <w:iCs/>
          <w:sz w:val="36"/>
          <w:szCs w:val="36"/>
          <w:rtl/>
          <w:lang w:bidi="ar-DZ"/>
        </w:rPr>
      </w:pPr>
      <w:r w:rsidRPr="00983AFE">
        <w:rPr>
          <w:rFonts w:ascii="Traditional Arabic" w:hAnsi="Traditional Arabic" w:cs="Traditional Arabic"/>
          <w:sz w:val="36"/>
          <w:szCs w:val="36"/>
          <w:rtl/>
          <w:lang w:bidi="ar-DZ"/>
        </w:rPr>
        <w:t xml:space="preserve">اختار الناقد عبد الحميد بورايو في قراءاته السيميائية نصوص لحكايات </w:t>
      </w:r>
      <w:r w:rsidRPr="00983AFE">
        <w:rPr>
          <w:rFonts w:ascii="Traditional Arabic" w:hAnsi="Traditional Arabic" w:cs="Traditional Arabic"/>
          <w:sz w:val="36"/>
          <w:szCs w:val="36"/>
          <w:rtl/>
        </w:rPr>
        <w:t>كليلة ودمنة (الحمامة المطوقة)</w:t>
      </w:r>
      <w:r w:rsidRPr="00983AFE">
        <w:rPr>
          <w:rFonts w:ascii="Traditional Arabic" w:hAnsi="Traditional Arabic" w:cs="Traditional Arabic"/>
          <w:sz w:val="36"/>
          <w:szCs w:val="36"/>
          <w:rtl/>
          <w:lang w:bidi="ar-DZ"/>
        </w:rPr>
        <w:t>،</w:t>
      </w:r>
      <w:r w:rsidRPr="00983AFE">
        <w:rPr>
          <w:rFonts w:ascii="Traditional Arabic" w:hAnsi="Traditional Arabic" w:cs="Traditional Arabic"/>
          <w:sz w:val="36"/>
          <w:szCs w:val="36"/>
          <w:rtl/>
        </w:rPr>
        <w:t xml:space="preserve">أين اعتمد على اجراءات السيميائية السردية التي جاء بها الناقد غريماس،والتي تجعل من مفهوم الخطاب منطلقا لها،فكان تحليله مرتكزا على البنيات الخطابية (البنية السطحية والبنية العميقة) والحقول الدلالية كالحقل المعجمي والمقطوعات الخطابية والتجسيدات الخطابية بماذلك نظرية التشاكل </w:t>
      </w:r>
      <w:r>
        <w:rPr>
          <w:rStyle w:val="Appelnotedebasdep"/>
          <w:rFonts w:ascii="Traditional Arabic" w:hAnsi="Traditional Arabic" w:cs="Traditional Arabic"/>
          <w:sz w:val="36"/>
          <w:szCs w:val="36"/>
          <w:rtl/>
          <w:lang w:bidi="ar-DZ"/>
        </w:rPr>
        <w:footnoteReference w:customMarkFollows="1" w:id="8"/>
        <w:t>2</w:t>
      </w:r>
      <w:r w:rsidRPr="00983AFE">
        <w:rPr>
          <w:rFonts w:ascii="Traditional Arabic" w:hAnsi="Traditional Arabic" w:cs="Traditional Arabic"/>
          <w:sz w:val="36"/>
          <w:szCs w:val="36"/>
          <w:rtl/>
          <w:lang w:bidi="ar-DZ"/>
        </w:rPr>
        <w:t>.</w:t>
      </w:r>
    </w:p>
    <w:p w:rsidR="00983AFE" w:rsidRPr="00983AFE" w:rsidRDefault="00983AFE" w:rsidP="00983AFE">
      <w:pPr>
        <w:pStyle w:val="Paragraphedeliste"/>
        <w:numPr>
          <w:ilvl w:val="0"/>
          <w:numId w:val="4"/>
        </w:numPr>
        <w:spacing w:line="360" w:lineRule="auto"/>
        <w:jc w:val="both"/>
        <w:rPr>
          <w:rFonts w:ascii="Traditional Arabic" w:hAnsi="Traditional Arabic" w:cs="Traditional Arabic"/>
          <w:i/>
          <w:iCs/>
          <w:sz w:val="36"/>
          <w:szCs w:val="36"/>
          <w:rtl/>
          <w:lang w:bidi="ar-DZ"/>
        </w:rPr>
      </w:pPr>
      <w:r w:rsidRPr="00983AFE">
        <w:rPr>
          <w:rFonts w:ascii="Traditional Arabic" w:hAnsi="Traditional Arabic" w:cs="Traditional Arabic"/>
          <w:sz w:val="36"/>
          <w:szCs w:val="36"/>
          <w:rtl/>
          <w:lang w:bidi="ar-DZ"/>
        </w:rPr>
        <w:t xml:space="preserve">– </w:t>
      </w:r>
      <w:r w:rsidRPr="00983AFE">
        <w:rPr>
          <w:rFonts w:ascii="Traditional Arabic" w:hAnsi="Traditional Arabic" w:cs="Traditional Arabic"/>
          <w:b/>
          <w:bCs/>
          <w:sz w:val="36"/>
          <w:szCs w:val="36"/>
          <w:rtl/>
          <w:lang w:bidi="ar-DZ"/>
        </w:rPr>
        <w:t>تجربة عبد الملك مرتاض</w:t>
      </w:r>
      <w:r w:rsidRPr="00983AFE">
        <w:rPr>
          <w:rFonts w:ascii="Traditional Arabic" w:hAnsi="Traditional Arabic" w:cs="Traditional Arabic"/>
          <w:sz w:val="36"/>
          <w:szCs w:val="36"/>
          <w:rtl/>
          <w:lang w:bidi="ar-DZ"/>
        </w:rPr>
        <w:t xml:space="preserve"> </w:t>
      </w:r>
    </w:p>
    <w:p w:rsidR="00983AFE" w:rsidRPr="00983AFE" w:rsidRDefault="00983AFE" w:rsidP="00983AFE">
      <w:pPr>
        <w:spacing w:line="360" w:lineRule="auto"/>
        <w:ind w:firstLine="341"/>
        <w:jc w:val="both"/>
        <w:rPr>
          <w:rFonts w:ascii="Traditional Arabic" w:hAnsi="Traditional Arabic" w:cs="Traditional Arabic"/>
          <w:i/>
          <w:iCs/>
          <w:sz w:val="36"/>
          <w:szCs w:val="36"/>
          <w:rtl/>
        </w:rPr>
      </w:pPr>
      <w:r w:rsidRPr="00983AFE">
        <w:rPr>
          <w:rFonts w:ascii="Traditional Arabic" w:hAnsi="Traditional Arabic" w:cs="Traditional Arabic"/>
          <w:sz w:val="36"/>
          <w:szCs w:val="36"/>
          <w:rtl/>
          <w:lang w:val="fr-FR" w:bidi="ar-DZ"/>
        </w:rPr>
        <w:t xml:space="preserve">يعتبر الناقد عبد الملك مرتاض من أكثر النقاد الجزائريين تناولا وممارسة للمنهج السميائي،بحيث توزعت دراسته مابين جنس الشعر في كتابيه </w:t>
      </w:r>
      <w:r w:rsidRPr="00983AFE">
        <w:rPr>
          <w:rFonts w:ascii="Traditional Arabic" w:hAnsi="Traditional Arabic" w:cs="Traditional Arabic"/>
          <w:sz w:val="36"/>
          <w:szCs w:val="36"/>
          <w:rtl/>
        </w:rPr>
        <w:t>دراسة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سيميائية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تفكيكية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لقصيدة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أين</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ليلاي</w:t>
      </w:r>
      <w:r w:rsidRPr="00983AFE">
        <w:rPr>
          <w:rFonts w:ascii="Traditional Arabic" w:hAnsi="Traditional Arabic" w:cs="Traditional Arabic"/>
          <w:sz w:val="36"/>
          <w:szCs w:val="36"/>
        </w:rPr>
        <w:t>"</w:t>
      </w:r>
      <w:r w:rsidRPr="00983AFE">
        <w:rPr>
          <w:rFonts w:ascii="Traditional Arabic" w:hAnsi="Traditional Arabic" w:cs="Traditional Arabic"/>
          <w:sz w:val="36"/>
          <w:szCs w:val="36"/>
          <w:rtl/>
          <w:lang w:bidi="ar-DZ"/>
        </w:rPr>
        <w:t xml:space="preserve"> لمحمد العيد آل خليفة،وكتابه </w:t>
      </w:r>
      <w:r w:rsidRPr="00983AFE">
        <w:rPr>
          <w:rFonts w:ascii="Traditional Arabic" w:hAnsi="Traditional Arabic" w:cs="Traditional Arabic"/>
          <w:sz w:val="36"/>
          <w:szCs w:val="36"/>
          <w:rtl/>
        </w:rPr>
        <w:t>بنية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الخطاب دراسة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تشريحية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لقصيدة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أشجان</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يمانية التي تأتي ضمن قراءة تشاكلية،وتعتمد على توظيف المصطلحات المعروفة في المنهج السيميائي كالأيقونة،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القرينة،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الرمز،</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الإشارة</w:t>
      </w:r>
      <w:r>
        <w:rPr>
          <w:rStyle w:val="Appelnotedebasdep"/>
          <w:rFonts w:ascii="Traditional Arabic" w:hAnsi="Traditional Arabic" w:cs="Traditional Arabic"/>
          <w:sz w:val="36"/>
          <w:szCs w:val="36"/>
          <w:rtl/>
        </w:rPr>
        <w:footnoteReference w:customMarkFollows="1" w:id="9"/>
        <w:t>1</w:t>
      </w:r>
      <w:r w:rsidRPr="00983AFE">
        <w:rPr>
          <w:rFonts w:ascii="Traditional Arabic" w:hAnsi="Traditional Arabic" w:cs="Traditional Arabic"/>
          <w:sz w:val="36"/>
          <w:szCs w:val="36"/>
        </w:rPr>
        <w:t>.</w:t>
      </w:r>
      <w:r w:rsidRPr="00983AFE">
        <w:rPr>
          <w:rFonts w:ascii="Traditional Arabic" w:hAnsi="Traditional Arabic" w:cs="Traditional Arabic"/>
          <w:sz w:val="36"/>
          <w:szCs w:val="36"/>
          <w:rtl/>
          <w:lang w:bidi="ar-DZ"/>
        </w:rPr>
        <w:t>وهي</w:t>
      </w:r>
      <w:r w:rsidRPr="00983AFE">
        <w:rPr>
          <w:rFonts w:ascii="Traditional Arabic" w:hAnsi="Traditional Arabic" w:cs="Traditional Arabic"/>
          <w:sz w:val="36"/>
          <w:szCs w:val="36"/>
          <w:rtl/>
        </w:rPr>
        <w:t xml:space="preserve"> من مرتكزات السميائية عند شارل بيرس،وجنس الرواية وهذا في دراسته تحليل الخطاب السردي معالجة تفكيكية سيميائية مركبة لرواية "زقاق المدق" إذ اعتمد مرتاض في هذه الدراسة على قراءة البنى الخطابية بما فيها الوظائف والتقنيات السردية قراءة سيميائية ترتكز على تفكيك مستويات الخطاب الروائي؛فضمت دراسته سيميائية الأسماء ،والألوان والروائح والعيون ،دون أن يخفى عليه دراسة مستويات اللغة والحيز والمكان والزمن ...وهذا رغبة منه في ترسيخ مفهوم القراءة السيميائية للخطاب السردي .</w:t>
      </w:r>
    </w:p>
    <w:p w:rsidR="00983AFE" w:rsidRPr="00983AFE" w:rsidRDefault="00983AFE" w:rsidP="00983AFE">
      <w:pPr>
        <w:spacing w:line="360" w:lineRule="auto"/>
        <w:ind w:firstLine="341"/>
        <w:jc w:val="both"/>
        <w:rPr>
          <w:rFonts w:ascii="Traditional Arabic" w:hAnsi="Traditional Arabic" w:cs="Traditional Arabic"/>
          <w:i/>
          <w:iCs/>
          <w:sz w:val="36"/>
          <w:szCs w:val="36"/>
          <w:rtl/>
        </w:rPr>
      </w:pPr>
      <w:r w:rsidRPr="00983AFE">
        <w:rPr>
          <w:rFonts w:ascii="Traditional Arabic" w:hAnsi="Traditional Arabic" w:cs="Traditional Arabic"/>
          <w:sz w:val="36"/>
          <w:szCs w:val="36"/>
          <w:rtl/>
        </w:rPr>
        <w:t>ولم يكتف عبد الملك مرتاض بممارسة النقد السيمائي على النصوص الشعرية والسردية فحسب ،بل راح يجرب تقنيات هذه المنهج على النص القرآني ،وهذا من خلال دراسته "نظام الخطاب القرآني تحليل سيميائي مركب لسورة الرحمن ،ليكون هذا الناقد هو الأكثر تنوعا وممارسة للنقد السيمائي،وهذا من خلال كتاباته المتمثلة في:</w:t>
      </w:r>
    </w:p>
    <w:p w:rsidR="00983AFE" w:rsidRPr="00983AFE" w:rsidRDefault="00983AFE" w:rsidP="00983AFE">
      <w:pPr>
        <w:pStyle w:val="Paragraphedeliste"/>
        <w:numPr>
          <w:ilvl w:val="0"/>
          <w:numId w:val="3"/>
        </w:numPr>
        <w:spacing w:line="360" w:lineRule="auto"/>
        <w:jc w:val="both"/>
        <w:rPr>
          <w:rFonts w:ascii="Traditional Arabic" w:hAnsi="Traditional Arabic" w:cs="Traditional Arabic"/>
          <w:i/>
          <w:iCs/>
          <w:sz w:val="36"/>
          <w:szCs w:val="36"/>
        </w:rPr>
      </w:pPr>
      <w:r w:rsidRPr="00983AFE">
        <w:rPr>
          <w:rFonts w:ascii="Traditional Arabic" w:hAnsi="Traditional Arabic" w:cs="Traditional Arabic"/>
          <w:sz w:val="36"/>
          <w:szCs w:val="36"/>
          <w:rtl/>
        </w:rPr>
        <w:t>نظام الخطاب القرآني ( تحليل سيميائي مركب لسورة الرحمن)</w:t>
      </w:r>
    </w:p>
    <w:p w:rsidR="00983AFE" w:rsidRPr="00983AFE" w:rsidRDefault="00983AFE" w:rsidP="00983AFE">
      <w:pPr>
        <w:pStyle w:val="Paragraphedeliste"/>
        <w:numPr>
          <w:ilvl w:val="0"/>
          <w:numId w:val="3"/>
        </w:numPr>
        <w:spacing w:line="360" w:lineRule="auto"/>
        <w:jc w:val="both"/>
        <w:rPr>
          <w:rFonts w:ascii="Traditional Arabic" w:hAnsi="Traditional Arabic" w:cs="Traditional Arabic"/>
          <w:i/>
          <w:iCs/>
          <w:sz w:val="36"/>
          <w:szCs w:val="36"/>
        </w:rPr>
      </w:pPr>
      <w:r w:rsidRPr="00983AFE">
        <w:rPr>
          <w:rFonts w:ascii="Traditional Arabic" w:hAnsi="Traditional Arabic" w:cs="Traditional Arabic"/>
          <w:sz w:val="36"/>
          <w:szCs w:val="36"/>
          <w:rtl/>
        </w:rPr>
        <w:t>التحليل السيميائي للخطاب الشعري (معالجة مستوياتية لقصيدة شناشيل ابنة الحلبي)</w:t>
      </w:r>
    </w:p>
    <w:p w:rsidR="00983AFE" w:rsidRPr="00983AFE" w:rsidRDefault="00983AFE" w:rsidP="00983AFE">
      <w:pPr>
        <w:pStyle w:val="Paragraphedeliste"/>
        <w:numPr>
          <w:ilvl w:val="0"/>
          <w:numId w:val="3"/>
        </w:numPr>
        <w:spacing w:line="360" w:lineRule="auto"/>
        <w:jc w:val="both"/>
        <w:rPr>
          <w:rFonts w:ascii="Traditional Arabic" w:hAnsi="Traditional Arabic" w:cs="Traditional Arabic"/>
          <w:i/>
          <w:iCs/>
          <w:sz w:val="36"/>
          <w:szCs w:val="36"/>
        </w:rPr>
      </w:pPr>
      <w:r w:rsidRPr="00983AFE">
        <w:rPr>
          <w:rFonts w:ascii="Traditional Arabic" w:hAnsi="Traditional Arabic" w:cs="Traditional Arabic"/>
          <w:sz w:val="36"/>
          <w:szCs w:val="36"/>
          <w:rtl/>
        </w:rPr>
        <w:t xml:space="preserve">تحليل سيميائي تفكيكي لحكاية حمال بغداد ألف ليلة وليلة </w:t>
      </w:r>
    </w:p>
    <w:p w:rsidR="00983AFE" w:rsidRPr="00983AFE" w:rsidRDefault="00983AFE" w:rsidP="00983AFE">
      <w:pPr>
        <w:pStyle w:val="Paragraphedeliste"/>
        <w:numPr>
          <w:ilvl w:val="0"/>
          <w:numId w:val="3"/>
        </w:numPr>
        <w:spacing w:line="360" w:lineRule="auto"/>
        <w:jc w:val="both"/>
        <w:rPr>
          <w:rFonts w:ascii="Traditional Arabic" w:hAnsi="Traditional Arabic" w:cs="Traditional Arabic"/>
          <w:i/>
          <w:iCs/>
          <w:sz w:val="36"/>
          <w:szCs w:val="36"/>
        </w:rPr>
      </w:pPr>
      <w:r w:rsidRPr="00983AFE">
        <w:rPr>
          <w:rFonts w:ascii="Traditional Arabic" w:hAnsi="Traditional Arabic" w:cs="Traditional Arabic"/>
          <w:sz w:val="36"/>
          <w:szCs w:val="36"/>
          <w:rtl/>
        </w:rPr>
        <w:t>تحليل الخطاب السردي معالجة تفكيكية سيميائية مركبة لرواية "زقاق المدق"</w:t>
      </w:r>
    </w:p>
    <w:p w:rsidR="00983AFE" w:rsidRPr="00983AFE" w:rsidRDefault="00983AFE" w:rsidP="00983AFE">
      <w:pPr>
        <w:pStyle w:val="Paragraphedeliste"/>
        <w:numPr>
          <w:ilvl w:val="0"/>
          <w:numId w:val="3"/>
        </w:numPr>
        <w:spacing w:line="360" w:lineRule="auto"/>
        <w:jc w:val="both"/>
        <w:rPr>
          <w:rFonts w:ascii="Traditional Arabic" w:hAnsi="Traditional Arabic" w:cs="Traditional Arabic"/>
          <w:i/>
          <w:iCs/>
          <w:sz w:val="36"/>
          <w:szCs w:val="36"/>
        </w:rPr>
      </w:pPr>
      <w:r w:rsidRPr="00983AFE">
        <w:rPr>
          <w:rFonts w:ascii="Traditional Arabic" w:hAnsi="Traditional Arabic" w:cs="Traditional Arabic"/>
          <w:sz w:val="36"/>
          <w:szCs w:val="36"/>
          <w:rtl/>
        </w:rPr>
        <w:t>شعرية القصيدة (قصيدة القراءة تحليل مركب لقصيدة أشجان يمانية )</w:t>
      </w:r>
    </w:p>
    <w:p w:rsidR="00983AFE" w:rsidRPr="00983AFE" w:rsidRDefault="00983AFE" w:rsidP="00983AFE">
      <w:pPr>
        <w:pStyle w:val="Paragraphedeliste"/>
        <w:numPr>
          <w:ilvl w:val="0"/>
          <w:numId w:val="3"/>
        </w:numPr>
        <w:spacing w:line="360" w:lineRule="auto"/>
        <w:jc w:val="both"/>
        <w:rPr>
          <w:rFonts w:ascii="Traditional Arabic" w:hAnsi="Traditional Arabic" w:cs="Traditional Arabic"/>
          <w:i/>
          <w:iCs/>
          <w:sz w:val="36"/>
          <w:szCs w:val="36"/>
          <w:rtl/>
        </w:rPr>
      </w:pPr>
      <w:r w:rsidRPr="00983AFE">
        <w:rPr>
          <w:rFonts w:ascii="Traditional Arabic" w:hAnsi="Traditional Arabic" w:cs="Traditional Arabic"/>
          <w:sz w:val="36"/>
          <w:szCs w:val="36"/>
          <w:rtl/>
        </w:rPr>
        <w:t>أ.ي دراسة سيميائية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 xml:space="preserve">تفكيكية </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لقصيدة</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أين</w:t>
      </w:r>
      <w:r w:rsidRPr="00983AFE">
        <w:rPr>
          <w:rFonts w:ascii="Traditional Arabic" w:hAnsi="Traditional Arabic" w:cs="Traditional Arabic"/>
          <w:sz w:val="36"/>
          <w:szCs w:val="36"/>
        </w:rPr>
        <w:t xml:space="preserve"> </w:t>
      </w:r>
      <w:r w:rsidRPr="00983AFE">
        <w:rPr>
          <w:rFonts w:ascii="Traditional Arabic" w:hAnsi="Traditional Arabic" w:cs="Traditional Arabic"/>
          <w:sz w:val="36"/>
          <w:szCs w:val="36"/>
          <w:rtl/>
        </w:rPr>
        <w:t>ليلاي</w:t>
      </w:r>
      <w:r w:rsidRPr="00983AFE">
        <w:rPr>
          <w:rFonts w:ascii="Traditional Arabic" w:hAnsi="Traditional Arabic" w:cs="Traditional Arabic"/>
          <w:sz w:val="36"/>
          <w:szCs w:val="36"/>
        </w:rPr>
        <w:t>"</w:t>
      </w:r>
      <w:r w:rsidRPr="00983AFE">
        <w:rPr>
          <w:rFonts w:ascii="Traditional Arabic" w:hAnsi="Traditional Arabic" w:cs="Traditional Arabic"/>
          <w:sz w:val="36"/>
          <w:szCs w:val="36"/>
          <w:rtl/>
          <w:lang w:bidi="ar-DZ"/>
        </w:rPr>
        <w:t xml:space="preserve"> لمحمد العيد آل خليفة </w:t>
      </w:r>
    </w:p>
    <w:p w:rsidR="00983AFE" w:rsidRDefault="00980F6A" w:rsidP="00980F6A">
      <w:pPr>
        <w:spacing w:line="360" w:lineRule="auto"/>
        <w:jc w:val="both"/>
        <w:rPr>
          <w:rFonts w:ascii="Traditional Arabic" w:hAnsi="Traditional Arabic" w:cs="Traditional Arabic" w:hint="cs"/>
          <w:sz w:val="36"/>
          <w:szCs w:val="36"/>
          <w:rtl/>
          <w:lang w:val="fr-FR" w:bidi="ar-DZ"/>
        </w:rPr>
      </w:pPr>
      <w:r>
        <w:rPr>
          <w:rFonts w:ascii="Traditional Arabic" w:hAnsi="Traditional Arabic" w:cs="Traditional Arabic" w:hint="cs"/>
          <w:sz w:val="36"/>
          <w:szCs w:val="36"/>
          <w:rtl/>
          <w:lang w:val="fr-FR"/>
        </w:rPr>
        <w:t xml:space="preserve">    </w:t>
      </w:r>
      <w:r w:rsidRPr="00980F6A">
        <w:rPr>
          <w:rFonts w:ascii="Traditional Arabic" w:hAnsi="Traditional Arabic" w:cs="Traditional Arabic" w:hint="cs"/>
          <w:sz w:val="36"/>
          <w:szCs w:val="36"/>
          <w:rtl/>
          <w:lang w:val="fr-FR" w:bidi="ar-DZ"/>
        </w:rPr>
        <w:t xml:space="preserve">يمكننا القول ،بأن </w:t>
      </w:r>
      <w:r>
        <w:rPr>
          <w:rFonts w:ascii="Traditional Arabic" w:hAnsi="Traditional Arabic" w:cs="Traditional Arabic" w:hint="cs"/>
          <w:sz w:val="36"/>
          <w:szCs w:val="36"/>
          <w:rtl/>
          <w:lang w:val="fr-FR" w:bidi="ar-DZ"/>
        </w:rPr>
        <w:t>التطبيقات السيميائية شكلت أحد المناهج النقدية الحديثة التي أسهمت بفاعلية في تطوير الخطاب النقدي الجزائري ،من خلال نقل المقاربة النقدية من القراءة الانطباعية الى التحليل العلمي المنهجي القائم على التفكيك العلامات والأنساق الدلالية الكامنة في النصوص الأدبية .</w:t>
      </w:r>
    </w:p>
    <w:p w:rsidR="00983AFE" w:rsidRPr="00983AFE" w:rsidRDefault="00983AFE" w:rsidP="00A06BC7">
      <w:pPr>
        <w:pStyle w:val="Paragraphedeliste"/>
        <w:jc w:val="both"/>
        <w:rPr>
          <w:rFonts w:ascii="Traditional Arabic" w:hAnsi="Traditional Arabic" w:cs="Traditional Arabic"/>
          <w:b/>
          <w:bCs/>
          <w:sz w:val="36"/>
          <w:szCs w:val="36"/>
          <w:lang w:bidi="ar-DZ"/>
        </w:rPr>
      </w:pPr>
    </w:p>
    <w:sectPr w:rsidR="00983AFE" w:rsidRPr="00983AFE" w:rsidSect="0050561B">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6C5" w:rsidRDefault="008C46C5" w:rsidP="00983AFE">
      <w:pPr>
        <w:spacing w:after="0" w:line="240" w:lineRule="auto"/>
      </w:pPr>
      <w:r>
        <w:separator/>
      </w:r>
    </w:p>
  </w:endnote>
  <w:endnote w:type="continuationSeparator" w:id="1">
    <w:p w:rsidR="008C46C5" w:rsidRDefault="008C46C5" w:rsidP="00983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6C5" w:rsidRDefault="008C46C5" w:rsidP="00983AFE">
      <w:pPr>
        <w:spacing w:after="0" w:line="240" w:lineRule="auto"/>
      </w:pPr>
      <w:r>
        <w:separator/>
      </w:r>
    </w:p>
  </w:footnote>
  <w:footnote w:type="continuationSeparator" w:id="1">
    <w:p w:rsidR="008C46C5" w:rsidRDefault="008C46C5" w:rsidP="00983AFE">
      <w:pPr>
        <w:spacing w:after="0" w:line="240" w:lineRule="auto"/>
      </w:pPr>
      <w:r>
        <w:continuationSeparator/>
      </w:r>
    </w:p>
  </w:footnote>
  <w:footnote w:id="2">
    <w:p w:rsidR="00983AFE" w:rsidRPr="00983AFE" w:rsidRDefault="00983AFE" w:rsidP="00983AFE">
      <w:pPr>
        <w:pStyle w:val="Notedebasdepage"/>
        <w:spacing w:line="276" w:lineRule="auto"/>
        <w:jc w:val="both"/>
        <w:rPr>
          <w:rFonts w:ascii="Traditional Arabic" w:hAnsi="Traditional Arabic" w:cs="Traditional Arabic" w:hint="cs"/>
          <w:i/>
          <w:iCs/>
          <w:sz w:val="24"/>
          <w:szCs w:val="24"/>
          <w:rtl/>
          <w:lang w:val="fr-FR" w:bidi="ar-DZ"/>
        </w:rPr>
      </w:pPr>
      <w:r>
        <w:rPr>
          <w:rStyle w:val="Appelnotedebasdep"/>
          <w:rtl/>
        </w:rPr>
        <w:t>1</w:t>
      </w:r>
      <w:r w:rsidRPr="00500D4B">
        <w:rPr>
          <w:rFonts w:ascii="Simplified Arabic" w:hAnsi="Simplified Arabic" w:cs="Simplified Arabic"/>
          <w:rtl/>
        </w:rPr>
        <w:t xml:space="preserve"> </w:t>
      </w:r>
      <w:r w:rsidRPr="00500D4B">
        <w:rPr>
          <w:rFonts w:ascii="Simplified Arabic" w:hAnsi="Simplified Arabic" w:cs="Simplified Arabic"/>
          <w:rtl/>
          <w:lang w:bidi="ar-DZ"/>
        </w:rPr>
        <w:t xml:space="preserve">– </w:t>
      </w:r>
      <w:r w:rsidRPr="00983AFE">
        <w:rPr>
          <w:rFonts w:ascii="Traditional Arabic" w:hAnsi="Traditional Arabic" w:cs="Traditional Arabic"/>
          <w:sz w:val="24"/>
          <w:szCs w:val="24"/>
          <w:rtl/>
          <w:lang w:bidi="ar-DZ"/>
        </w:rPr>
        <w:t>فيصل الأحمر ،معجم السميائيات ،الدار العربية للعلوم ناشرون ،ط:</w:t>
      </w:r>
      <w:r w:rsidRPr="00983AFE">
        <w:rPr>
          <w:rFonts w:ascii="Traditional Arabic" w:hAnsi="Traditional Arabic" w:cs="Traditional Arabic"/>
          <w:sz w:val="24"/>
          <w:szCs w:val="24"/>
          <w:lang w:val="fr-FR" w:bidi="ar-DZ"/>
        </w:rPr>
        <w:t>01</w:t>
      </w:r>
      <w:r w:rsidRPr="00983AFE">
        <w:rPr>
          <w:rFonts w:ascii="Traditional Arabic" w:hAnsi="Traditional Arabic" w:cs="Traditional Arabic"/>
          <w:sz w:val="24"/>
          <w:szCs w:val="24"/>
          <w:rtl/>
          <w:lang w:val="fr-FR" w:bidi="ar-DZ"/>
        </w:rPr>
        <w:t>،الجزائر ،</w:t>
      </w:r>
      <w:r w:rsidRPr="00983AFE">
        <w:rPr>
          <w:rFonts w:ascii="Traditional Arabic" w:hAnsi="Traditional Arabic" w:cs="Traditional Arabic"/>
          <w:sz w:val="24"/>
          <w:szCs w:val="24"/>
          <w:lang w:val="fr-FR" w:bidi="ar-DZ"/>
        </w:rPr>
        <w:t>2010</w:t>
      </w:r>
      <w:r w:rsidRPr="00983AFE">
        <w:rPr>
          <w:rFonts w:ascii="Traditional Arabic" w:hAnsi="Traditional Arabic" w:cs="Traditional Arabic"/>
          <w:sz w:val="24"/>
          <w:szCs w:val="24"/>
          <w:rtl/>
          <w:lang w:val="fr-FR" w:bidi="ar-DZ"/>
        </w:rPr>
        <w:t>،ص:</w:t>
      </w:r>
      <w:r w:rsidRPr="00983AFE">
        <w:rPr>
          <w:rFonts w:ascii="Traditional Arabic" w:hAnsi="Traditional Arabic" w:cs="Traditional Arabic"/>
          <w:sz w:val="24"/>
          <w:szCs w:val="24"/>
          <w:lang w:val="fr-FR" w:bidi="ar-DZ"/>
        </w:rPr>
        <w:t>60</w:t>
      </w:r>
      <w:r w:rsidRPr="00983AFE">
        <w:rPr>
          <w:rFonts w:ascii="Traditional Arabic" w:hAnsi="Traditional Arabic" w:cs="Traditional Arabic"/>
          <w:sz w:val="24"/>
          <w:szCs w:val="24"/>
          <w:rtl/>
          <w:lang w:val="fr-FR" w:bidi="ar-DZ"/>
        </w:rPr>
        <w:t>.</w:t>
      </w:r>
    </w:p>
  </w:footnote>
  <w:footnote w:id="3">
    <w:p w:rsidR="00983AFE" w:rsidRPr="00983AFE" w:rsidRDefault="00983AFE" w:rsidP="00983AFE">
      <w:pPr>
        <w:pStyle w:val="Notedebasdepage"/>
        <w:rPr>
          <w:rFonts w:ascii="Traditional Arabic" w:hAnsi="Traditional Arabic" w:cs="Traditional Arabic"/>
          <w:sz w:val="24"/>
          <w:szCs w:val="24"/>
          <w:rtl/>
          <w:lang w:val="fr-FR" w:bidi="ar-DZ"/>
        </w:rPr>
      </w:pPr>
      <w:r w:rsidRPr="00983AFE">
        <w:rPr>
          <w:rStyle w:val="Appelnotedebasdep"/>
          <w:rFonts w:ascii="Traditional Arabic" w:hAnsi="Traditional Arabic" w:cs="Traditional Arabic"/>
          <w:sz w:val="24"/>
          <w:szCs w:val="24"/>
          <w:rtl/>
        </w:rPr>
        <w:t>2</w:t>
      </w:r>
      <w:r w:rsidRPr="00983AFE">
        <w:rPr>
          <w:rFonts w:ascii="Traditional Arabic" w:hAnsi="Traditional Arabic" w:cs="Traditional Arabic"/>
          <w:sz w:val="24"/>
          <w:szCs w:val="24"/>
          <w:rtl/>
        </w:rPr>
        <w:t xml:space="preserve"> - عامر رضا،المناهج النقدية المعاصرة ومشكلاتها ( السيميائية /الأسلوبية/التداولية) ،مجلة البحوث والدراسات الإنسانية ،جامعة </w:t>
      </w:r>
      <w:r w:rsidRPr="00983AFE">
        <w:rPr>
          <w:rFonts w:ascii="Traditional Arabic" w:hAnsi="Traditional Arabic" w:cs="Traditional Arabic"/>
          <w:sz w:val="24"/>
          <w:szCs w:val="24"/>
          <w:lang w:val="fr-FR"/>
        </w:rPr>
        <w:t>20</w:t>
      </w:r>
      <w:r w:rsidRPr="00983AFE">
        <w:rPr>
          <w:rFonts w:ascii="Traditional Arabic" w:hAnsi="Traditional Arabic" w:cs="Traditional Arabic"/>
          <w:sz w:val="24"/>
          <w:szCs w:val="24"/>
          <w:rtl/>
          <w:lang w:val="fr-FR" w:bidi="ar-DZ"/>
        </w:rPr>
        <w:t xml:space="preserve">أوت </w:t>
      </w:r>
      <w:r w:rsidRPr="00983AFE">
        <w:rPr>
          <w:rFonts w:ascii="Traditional Arabic" w:hAnsi="Traditional Arabic" w:cs="Traditional Arabic"/>
          <w:sz w:val="24"/>
          <w:szCs w:val="24"/>
          <w:lang w:val="fr-FR" w:bidi="ar-DZ"/>
        </w:rPr>
        <w:t>1955</w:t>
      </w:r>
      <w:r w:rsidRPr="00983AFE">
        <w:rPr>
          <w:rFonts w:ascii="Traditional Arabic" w:hAnsi="Traditional Arabic" w:cs="Traditional Arabic"/>
          <w:sz w:val="24"/>
          <w:szCs w:val="24"/>
          <w:rtl/>
          <w:lang w:val="fr-FR" w:bidi="ar-DZ"/>
        </w:rPr>
        <w:t>،سكيكدة عدد:</w:t>
      </w:r>
      <w:r w:rsidRPr="00983AFE">
        <w:rPr>
          <w:rFonts w:ascii="Traditional Arabic" w:hAnsi="Traditional Arabic" w:cs="Traditional Arabic"/>
          <w:sz w:val="24"/>
          <w:szCs w:val="24"/>
          <w:lang w:val="fr-FR" w:bidi="ar-DZ"/>
        </w:rPr>
        <w:t>14</w:t>
      </w:r>
      <w:r w:rsidRPr="00983AFE">
        <w:rPr>
          <w:rFonts w:ascii="Traditional Arabic" w:hAnsi="Traditional Arabic" w:cs="Traditional Arabic"/>
          <w:sz w:val="24"/>
          <w:szCs w:val="24"/>
          <w:rtl/>
          <w:lang w:val="fr-FR" w:bidi="ar-DZ"/>
        </w:rPr>
        <w:t>،</w:t>
      </w:r>
      <w:r w:rsidRPr="00983AFE">
        <w:rPr>
          <w:rFonts w:ascii="Traditional Arabic" w:hAnsi="Traditional Arabic" w:cs="Traditional Arabic"/>
          <w:sz w:val="24"/>
          <w:szCs w:val="24"/>
          <w:lang w:val="fr-FR" w:bidi="ar-DZ"/>
        </w:rPr>
        <w:t>2017</w:t>
      </w:r>
      <w:r w:rsidRPr="00983AFE">
        <w:rPr>
          <w:rFonts w:ascii="Traditional Arabic" w:hAnsi="Traditional Arabic" w:cs="Traditional Arabic"/>
          <w:sz w:val="24"/>
          <w:szCs w:val="24"/>
          <w:rtl/>
          <w:lang w:val="fr-FR" w:bidi="ar-DZ"/>
        </w:rPr>
        <w:t>،ص</w:t>
      </w:r>
      <w:r w:rsidRPr="00983AFE">
        <w:rPr>
          <w:rFonts w:ascii="Traditional Arabic" w:hAnsi="Traditional Arabic" w:cs="Traditional Arabic"/>
          <w:sz w:val="24"/>
          <w:szCs w:val="24"/>
          <w:rtl/>
          <w:lang w:bidi="ar-DZ"/>
        </w:rPr>
        <w:t>:</w:t>
      </w:r>
      <w:r w:rsidRPr="00983AFE">
        <w:rPr>
          <w:rFonts w:ascii="Traditional Arabic" w:hAnsi="Traditional Arabic" w:cs="Traditional Arabic"/>
          <w:sz w:val="24"/>
          <w:szCs w:val="24"/>
          <w:lang w:val="fr-FR" w:bidi="ar-DZ"/>
        </w:rPr>
        <w:t>134</w:t>
      </w:r>
      <w:r w:rsidRPr="00983AFE">
        <w:rPr>
          <w:rFonts w:ascii="Traditional Arabic" w:hAnsi="Traditional Arabic" w:cs="Traditional Arabic"/>
          <w:sz w:val="24"/>
          <w:szCs w:val="24"/>
          <w:rtl/>
          <w:lang w:val="fr-FR" w:bidi="ar-DZ"/>
        </w:rPr>
        <w:t>.</w:t>
      </w:r>
    </w:p>
  </w:footnote>
  <w:footnote w:id="4">
    <w:p w:rsidR="00983AFE" w:rsidRPr="00960E5E" w:rsidRDefault="00983AFE" w:rsidP="00983AFE">
      <w:pPr>
        <w:pStyle w:val="Notedebasdepage"/>
        <w:rPr>
          <w:rtl/>
          <w:lang w:val="fr-FR" w:bidi="ar-DZ"/>
        </w:rPr>
      </w:pPr>
      <w:r>
        <w:rPr>
          <w:rStyle w:val="Appelnotedebasdep"/>
          <w:rtl/>
        </w:rPr>
        <w:t>1</w:t>
      </w:r>
      <w:r>
        <w:rPr>
          <w:rtl/>
        </w:rPr>
        <w:t xml:space="preserve"> </w:t>
      </w:r>
      <w:r>
        <w:rPr>
          <w:rFonts w:hint="cs"/>
          <w:rtl/>
        </w:rPr>
        <w:t xml:space="preserve">- </w:t>
      </w:r>
      <w:r w:rsidRPr="00500D4B">
        <w:rPr>
          <w:rFonts w:ascii="Simplified Arabic" w:hAnsi="Simplified Arabic" w:cs="Simplified Arabic"/>
          <w:rtl/>
        </w:rPr>
        <w:t>ينظر : عبد القادر فيدوح،دلائلية النص الأدبي – دراسة سميائية للشعر الجزائري</w:t>
      </w:r>
      <w:r>
        <w:rPr>
          <w:rFonts w:hint="cs"/>
          <w:rtl/>
        </w:rPr>
        <w:t>،ص:</w:t>
      </w:r>
      <w:r>
        <w:rPr>
          <w:lang w:val="fr-FR"/>
        </w:rPr>
        <w:t>6</w:t>
      </w:r>
      <w:r>
        <w:rPr>
          <w:rFonts w:hint="cs"/>
          <w:rtl/>
          <w:lang w:val="fr-FR" w:bidi="ar-DZ"/>
        </w:rPr>
        <w:t>-</w:t>
      </w:r>
      <w:r>
        <w:rPr>
          <w:lang w:val="fr-FR" w:bidi="ar-DZ"/>
        </w:rPr>
        <w:t>19</w:t>
      </w:r>
      <w:r>
        <w:rPr>
          <w:rFonts w:hint="cs"/>
          <w:rtl/>
          <w:lang w:val="fr-FR" w:bidi="ar-DZ"/>
        </w:rPr>
        <w:t>.</w:t>
      </w:r>
    </w:p>
  </w:footnote>
  <w:footnote w:id="5">
    <w:p w:rsidR="00983AFE" w:rsidRPr="00500D4B" w:rsidRDefault="00983AFE" w:rsidP="00983AFE">
      <w:pPr>
        <w:pStyle w:val="Notedebasdepage"/>
        <w:spacing w:line="276" w:lineRule="auto"/>
        <w:jc w:val="both"/>
        <w:rPr>
          <w:rFonts w:ascii="Simplified Arabic" w:hAnsi="Simplified Arabic" w:cs="Simplified Arabic" w:hint="cs"/>
          <w:i/>
          <w:iCs/>
          <w:lang w:val="fr-FR" w:bidi="ar-DZ"/>
        </w:rPr>
      </w:pPr>
      <w:r>
        <w:rPr>
          <w:rStyle w:val="Appelnotedebasdep"/>
          <w:rtl/>
        </w:rPr>
        <w:t>2</w:t>
      </w:r>
      <w:r w:rsidRPr="00500D4B">
        <w:rPr>
          <w:rFonts w:ascii="Simplified Arabic" w:hAnsi="Simplified Arabic" w:cs="Simplified Arabic"/>
          <w:rtl/>
        </w:rPr>
        <w:t xml:space="preserve"> – ينظر : </w:t>
      </w:r>
      <w:r>
        <w:rPr>
          <w:rFonts w:ascii="Simplified Arabic" w:hAnsi="Simplified Arabic" w:cs="Simplified Arabic" w:hint="cs"/>
          <w:rtl/>
        </w:rPr>
        <w:t xml:space="preserve">المرجع نفسه </w:t>
      </w:r>
      <w:r w:rsidRPr="00500D4B">
        <w:rPr>
          <w:rFonts w:ascii="Simplified Arabic" w:hAnsi="Simplified Arabic" w:cs="Simplified Arabic"/>
          <w:rtl/>
        </w:rPr>
        <w:t>،ص:</w:t>
      </w:r>
      <w:r w:rsidRPr="00500D4B">
        <w:rPr>
          <w:rFonts w:ascii="Simplified Arabic" w:hAnsi="Simplified Arabic" w:cs="Simplified Arabic"/>
          <w:lang w:val="fr-FR"/>
        </w:rPr>
        <w:t>47</w:t>
      </w:r>
      <w:r w:rsidRPr="00500D4B">
        <w:rPr>
          <w:rFonts w:ascii="Simplified Arabic" w:hAnsi="Simplified Arabic" w:cs="Simplified Arabic"/>
          <w:rtl/>
          <w:lang w:val="fr-FR"/>
        </w:rPr>
        <w:t xml:space="preserve"> -</w:t>
      </w:r>
      <w:r w:rsidRPr="00500D4B">
        <w:rPr>
          <w:rFonts w:ascii="Simplified Arabic" w:hAnsi="Simplified Arabic" w:cs="Simplified Arabic"/>
          <w:lang w:val="fr-FR"/>
        </w:rPr>
        <w:t>48</w:t>
      </w:r>
      <w:r w:rsidRPr="00500D4B">
        <w:rPr>
          <w:rFonts w:ascii="Simplified Arabic" w:hAnsi="Simplified Arabic" w:cs="Simplified Arabic"/>
          <w:rtl/>
          <w:lang w:val="fr-FR" w:bidi="ar-DZ"/>
        </w:rPr>
        <w:t>.</w:t>
      </w:r>
    </w:p>
  </w:footnote>
  <w:footnote w:id="6">
    <w:p w:rsidR="00983AFE" w:rsidRPr="00500D4B" w:rsidRDefault="00983AFE" w:rsidP="00983AFE">
      <w:pPr>
        <w:pStyle w:val="Notedebasdepage"/>
        <w:spacing w:line="276" w:lineRule="auto"/>
        <w:jc w:val="both"/>
        <w:rPr>
          <w:rFonts w:ascii="Simplified Arabic" w:hAnsi="Simplified Arabic" w:cs="Simplified Arabic" w:hint="cs"/>
          <w:i/>
          <w:iCs/>
          <w:rtl/>
          <w:lang w:val="fr-FR" w:bidi="ar-DZ"/>
        </w:rPr>
      </w:pPr>
      <w:r>
        <w:rPr>
          <w:rStyle w:val="Appelnotedebasdep"/>
          <w:rtl/>
        </w:rPr>
        <w:t>3</w:t>
      </w:r>
      <w:r w:rsidRPr="00500D4B">
        <w:rPr>
          <w:rFonts w:ascii="Simplified Arabic" w:hAnsi="Simplified Arabic" w:cs="Simplified Arabic"/>
          <w:rtl/>
        </w:rPr>
        <w:t xml:space="preserve"> – </w:t>
      </w:r>
      <w:r>
        <w:rPr>
          <w:rFonts w:ascii="Simplified Arabic" w:hAnsi="Simplified Arabic" w:cs="Simplified Arabic" w:hint="cs"/>
          <w:rtl/>
          <w:lang w:bidi="ar-DZ"/>
        </w:rPr>
        <w:t>ال</w:t>
      </w:r>
      <w:r w:rsidRPr="00500D4B">
        <w:rPr>
          <w:rFonts w:ascii="Simplified Arabic" w:hAnsi="Simplified Arabic" w:cs="Simplified Arabic"/>
          <w:rtl/>
          <w:lang w:bidi="ar-DZ"/>
        </w:rPr>
        <w:t>مرجع نفسه ،ص:</w:t>
      </w:r>
      <w:r w:rsidRPr="00500D4B">
        <w:rPr>
          <w:rFonts w:ascii="Simplified Arabic" w:hAnsi="Simplified Arabic" w:cs="Simplified Arabic"/>
          <w:lang w:val="fr-FR" w:bidi="ar-DZ"/>
        </w:rPr>
        <w:t>55</w:t>
      </w:r>
      <w:r w:rsidRPr="00500D4B">
        <w:rPr>
          <w:rFonts w:ascii="Simplified Arabic" w:hAnsi="Simplified Arabic" w:cs="Simplified Arabic"/>
          <w:rtl/>
          <w:lang w:val="fr-FR" w:bidi="ar-DZ"/>
        </w:rPr>
        <w:t xml:space="preserve">- </w:t>
      </w:r>
      <w:r w:rsidRPr="00500D4B">
        <w:rPr>
          <w:rFonts w:ascii="Simplified Arabic" w:hAnsi="Simplified Arabic" w:cs="Simplified Arabic"/>
          <w:lang w:val="fr-FR" w:bidi="ar-DZ"/>
        </w:rPr>
        <w:t>57</w:t>
      </w:r>
      <w:r w:rsidRPr="00500D4B">
        <w:rPr>
          <w:rFonts w:ascii="Simplified Arabic" w:hAnsi="Simplified Arabic" w:cs="Simplified Arabic"/>
          <w:rtl/>
          <w:lang w:val="fr-FR" w:bidi="ar-DZ"/>
        </w:rPr>
        <w:t>.</w:t>
      </w:r>
    </w:p>
  </w:footnote>
  <w:footnote w:id="7">
    <w:p w:rsidR="00983AFE" w:rsidRPr="008A227C" w:rsidRDefault="00983AFE" w:rsidP="00983AFE">
      <w:pPr>
        <w:pStyle w:val="Notedebasdepage"/>
        <w:rPr>
          <w:rtl/>
          <w:lang w:val="fr-FR" w:bidi="ar-DZ"/>
        </w:rPr>
      </w:pPr>
      <w:r>
        <w:rPr>
          <w:rStyle w:val="Appelnotedebasdep"/>
          <w:rtl/>
        </w:rPr>
        <w:t>1</w:t>
      </w:r>
      <w:r>
        <w:rPr>
          <w:rtl/>
        </w:rPr>
        <w:t xml:space="preserve"> –</w:t>
      </w:r>
      <w:r w:rsidRPr="00983AFE">
        <w:rPr>
          <w:rFonts w:ascii="Traditional Arabic" w:hAnsi="Traditional Arabic" w:cs="Traditional Arabic"/>
          <w:sz w:val="24"/>
          <w:szCs w:val="24"/>
          <w:rtl/>
        </w:rPr>
        <w:t>ينظر: المرجع نفسه ،ص:</w:t>
      </w:r>
      <w:r w:rsidRPr="00983AFE">
        <w:rPr>
          <w:rFonts w:ascii="Traditional Arabic" w:hAnsi="Traditional Arabic" w:cs="Traditional Arabic"/>
          <w:sz w:val="24"/>
          <w:szCs w:val="24"/>
          <w:lang w:val="fr-FR"/>
        </w:rPr>
        <w:t>113</w:t>
      </w:r>
      <w:r w:rsidRPr="00983AFE">
        <w:rPr>
          <w:rFonts w:ascii="Traditional Arabic" w:hAnsi="Traditional Arabic" w:cs="Traditional Arabic"/>
          <w:sz w:val="24"/>
          <w:szCs w:val="24"/>
          <w:rtl/>
          <w:lang w:val="fr-FR" w:bidi="ar-DZ"/>
        </w:rPr>
        <w:t>-</w:t>
      </w:r>
      <w:r w:rsidRPr="00983AFE">
        <w:rPr>
          <w:rFonts w:ascii="Traditional Arabic" w:hAnsi="Traditional Arabic" w:cs="Traditional Arabic"/>
          <w:sz w:val="24"/>
          <w:szCs w:val="24"/>
          <w:lang w:val="fr-FR" w:bidi="ar-DZ"/>
        </w:rPr>
        <w:t>119</w:t>
      </w:r>
      <w:r w:rsidRPr="00983AFE">
        <w:rPr>
          <w:rFonts w:ascii="Traditional Arabic" w:hAnsi="Traditional Arabic" w:cs="Traditional Arabic"/>
          <w:sz w:val="24"/>
          <w:szCs w:val="24"/>
          <w:rtl/>
          <w:lang w:val="fr-FR" w:bidi="ar-DZ"/>
        </w:rPr>
        <w:t>.</w:t>
      </w:r>
    </w:p>
  </w:footnote>
  <w:footnote w:id="8">
    <w:p w:rsidR="00983AFE" w:rsidRPr="00983AFE" w:rsidRDefault="00983AFE" w:rsidP="00983AFE">
      <w:pPr>
        <w:autoSpaceDE w:val="0"/>
        <w:autoSpaceDN w:val="0"/>
        <w:adjustRightInd w:val="0"/>
        <w:spacing w:after="0"/>
        <w:jc w:val="both"/>
        <w:rPr>
          <w:rFonts w:ascii="Traditional Arabic" w:hAnsi="Traditional Arabic" w:cs="Traditional Arabic"/>
          <w:i/>
          <w:iCs/>
          <w:sz w:val="24"/>
          <w:szCs w:val="24"/>
          <w:rtl/>
          <w:lang w:val="fr-FR" w:bidi="ar-DZ"/>
        </w:rPr>
      </w:pPr>
      <w:r>
        <w:rPr>
          <w:rStyle w:val="Appelnotedebasdep"/>
          <w:sz w:val="20"/>
          <w:szCs w:val="20"/>
          <w:rtl/>
        </w:rPr>
        <w:t>2</w:t>
      </w:r>
      <w:r w:rsidRPr="00983AFE">
        <w:rPr>
          <w:rFonts w:ascii="Traditional Arabic" w:hAnsi="Traditional Arabic" w:cs="Traditional Arabic"/>
          <w:sz w:val="24"/>
          <w:szCs w:val="24"/>
          <w:rtl/>
        </w:rPr>
        <w:t xml:space="preserve"> - ينظر: عبد الحميد بورايو، التحليل السيميائي للخطاب السردي، دراسة لحكايات من ألف ليلة وكليلة ودمنة، منشورات مخبر عادات وتقاليد دار الغرب،ص: </w:t>
      </w:r>
      <w:r w:rsidRPr="00983AFE">
        <w:rPr>
          <w:rFonts w:ascii="Traditional Arabic" w:hAnsi="Traditional Arabic" w:cs="Traditional Arabic"/>
          <w:sz w:val="24"/>
          <w:szCs w:val="24"/>
          <w:lang w:val="fr-FR"/>
        </w:rPr>
        <w:t>203</w:t>
      </w:r>
    </w:p>
  </w:footnote>
  <w:footnote w:id="9">
    <w:p w:rsidR="00983AFE" w:rsidRPr="00500D4B" w:rsidRDefault="00983AFE" w:rsidP="00983AFE">
      <w:pPr>
        <w:pStyle w:val="Notedebasdepage"/>
        <w:spacing w:line="276" w:lineRule="auto"/>
        <w:jc w:val="both"/>
        <w:rPr>
          <w:rFonts w:ascii="Simplified Arabic" w:hAnsi="Simplified Arabic" w:cs="Simplified Arabic" w:hint="cs"/>
          <w:i/>
          <w:iCs/>
          <w:rtl/>
          <w:lang w:val="fr-FR" w:bidi="ar-DZ"/>
        </w:rPr>
      </w:pPr>
      <w:r>
        <w:rPr>
          <w:rStyle w:val="Appelnotedebasdep"/>
          <w:rtl/>
        </w:rPr>
        <w:t>1</w:t>
      </w:r>
      <w:r w:rsidRPr="00983AFE">
        <w:rPr>
          <w:rFonts w:ascii="Traditional Arabic" w:hAnsi="Traditional Arabic" w:cs="Traditional Arabic"/>
          <w:sz w:val="24"/>
          <w:szCs w:val="24"/>
          <w:rtl/>
        </w:rPr>
        <w:t xml:space="preserve"> – ينظر:عبد الملك مرتاض :شعرية القصيدة قصيدة القراءة – تحليل مركب لقصيدة أشجان يمانية ،دار المنتخب العربي ،بيروت – لبنان،ط:</w:t>
      </w:r>
      <w:r w:rsidRPr="00983AFE">
        <w:rPr>
          <w:rFonts w:ascii="Traditional Arabic" w:hAnsi="Traditional Arabic" w:cs="Traditional Arabic"/>
          <w:sz w:val="24"/>
          <w:szCs w:val="24"/>
          <w:lang w:val="fr-FR"/>
        </w:rPr>
        <w:t>01</w:t>
      </w:r>
      <w:r w:rsidRPr="00983AFE">
        <w:rPr>
          <w:rFonts w:ascii="Traditional Arabic" w:hAnsi="Traditional Arabic" w:cs="Traditional Arabic"/>
          <w:sz w:val="24"/>
          <w:szCs w:val="24"/>
          <w:rtl/>
          <w:lang w:val="fr-FR" w:bidi="ar-DZ"/>
        </w:rPr>
        <w:t>،</w:t>
      </w:r>
      <w:r w:rsidRPr="00983AFE">
        <w:rPr>
          <w:rFonts w:ascii="Traditional Arabic" w:hAnsi="Traditional Arabic" w:cs="Traditional Arabic"/>
          <w:sz w:val="24"/>
          <w:szCs w:val="24"/>
          <w:lang w:val="fr-FR" w:bidi="ar-DZ"/>
        </w:rPr>
        <w:t>1994</w:t>
      </w:r>
      <w:r w:rsidRPr="00983AFE">
        <w:rPr>
          <w:rFonts w:ascii="Traditional Arabic" w:hAnsi="Traditional Arabic" w:cs="Traditional Arabic"/>
          <w:sz w:val="24"/>
          <w:szCs w:val="24"/>
          <w:rtl/>
          <w:lang w:val="fr-FR" w:bidi="ar-DZ"/>
        </w:rPr>
        <w:t>،ص.</w:t>
      </w:r>
      <w:r w:rsidRPr="00983AFE">
        <w:rPr>
          <w:rFonts w:ascii="Traditional Arabic" w:hAnsi="Traditional Arabic" w:cs="Traditional Arabic"/>
          <w:sz w:val="24"/>
          <w:szCs w:val="24"/>
          <w:lang w:val="fr-FR" w:bidi="ar-DZ"/>
        </w:rPr>
        <w:t>236-241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4257"/>
    <w:multiLevelType w:val="hybridMultilevel"/>
    <w:tmpl w:val="647ED4A8"/>
    <w:lvl w:ilvl="0" w:tplc="6A5A75B8">
      <w:numFmt w:val="bullet"/>
      <w:lvlText w:val="-"/>
      <w:lvlJc w:val="left"/>
      <w:pPr>
        <w:ind w:left="701" w:hanging="360"/>
      </w:pPr>
      <w:rPr>
        <w:rFonts w:ascii="Simplified Arabic" w:eastAsiaTheme="minorHAnsi" w:hAnsi="Simplified Arabic" w:cs="Simplified Arabic"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1">
    <w:nsid w:val="39D6045D"/>
    <w:multiLevelType w:val="hybridMultilevel"/>
    <w:tmpl w:val="5C6059AA"/>
    <w:lvl w:ilvl="0" w:tplc="5B52C5D6">
      <w:numFmt w:val="bullet"/>
      <w:lvlText w:val="-"/>
      <w:lvlJc w:val="left"/>
      <w:pPr>
        <w:ind w:left="720" w:hanging="360"/>
      </w:pPr>
      <w:rPr>
        <w:rFonts w:ascii="Traditional Arabic" w:eastAsiaTheme="minorHAnsi"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C47A6"/>
    <w:multiLevelType w:val="hybridMultilevel"/>
    <w:tmpl w:val="F9E0A024"/>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nsid w:val="4F4A05D9"/>
    <w:multiLevelType w:val="hybridMultilevel"/>
    <w:tmpl w:val="ECC85CFE"/>
    <w:lvl w:ilvl="0" w:tplc="4A9CC78C">
      <w:numFmt w:val="bullet"/>
      <w:lvlText w:val="-"/>
      <w:lvlJc w:val="left"/>
      <w:pPr>
        <w:ind w:left="720" w:hanging="360"/>
      </w:pPr>
      <w:rPr>
        <w:rFonts w:ascii="Traditional Arabic" w:eastAsiaTheme="minorHAnsi"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06BC7"/>
    <w:rsid w:val="002A5440"/>
    <w:rsid w:val="0050561B"/>
    <w:rsid w:val="005F1046"/>
    <w:rsid w:val="007D6C0C"/>
    <w:rsid w:val="008C46C5"/>
    <w:rsid w:val="00980F6A"/>
    <w:rsid w:val="00983AFE"/>
    <w:rsid w:val="00A06B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046"/>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6BC7"/>
    <w:pPr>
      <w:ind w:left="720"/>
      <w:contextualSpacing/>
    </w:pPr>
  </w:style>
  <w:style w:type="paragraph" w:styleId="Notedefin">
    <w:name w:val="endnote text"/>
    <w:basedOn w:val="Normal"/>
    <w:link w:val="NotedefinCar"/>
    <w:uiPriority w:val="99"/>
    <w:semiHidden/>
    <w:unhideWhenUsed/>
    <w:rsid w:val="00983AFE"/>
    <w:pPr>
      <w:spacing w:after="0" w:line="240" w:lineRule="auto"/>
    </w:pPr>
    <w:rPr>
      <w:i/>
      <w:iCs/>
      <w:sz w:val="20"/>
      <w:szCs w:val="20"/>
      <w:lang w:bidi="en-US"/>
    </w:rPr>
  </w:style>
  <w:style w:type="character" w:customStyle="1" w:styleId="NotedefinCar">
    <w:name w:val="Note de fin Car"/>
    <w:basedOn w:val="Policepardfaut"/>
    <w:link w:val="Notedefin"/>
    <w:uiPriority w:val="99"/>
    <w:semiHidden/>
    <w:rsid w:val="00983AFE"/>
    <w:rPr>
      <w:i/>
      <w:iCs/>
      <w:sz w:val="20"/>
      <w:szCs w:val="20"/>
      <w:lang w:bidi="en-US"/>
    </w:rPr>
  </w:style>
  <w:style w:type="character" w:styleId="Appeldenotedefin">
    <w:name w:val="endnote reference"/>
    <w:basedOn w:val="Policepardfaut"/>
    <w:uiPriority w:val="99"/>
    <w:semiHidden/>
    <w:unhideWhenUsed/>
    <w:rsid w:val="00983AFE"/>
    <w:rPr>
      <w:vertAlign w:val="superscript"/>
    </w:rPr>
  </w:style>
  <w:style w:type="paragraph" w:styleId="Notedebasdepage">
    <w:name w:val="footnote text"/>
    <w:basedOn w:val="Normal"/>
    <w:link w:val="NotedebasdepageCar"/>
    <w:uiPriority w:val="99"/>
    <w:semiHidden/>
    <w:unhideWhenUsed/>
    <w:rsid w:val="00983A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83AFE"/>
    <w:rPr>
      <w:sz w:val="20"/>
      <w:szCs w:val="20"/>
    </w:rPr>
  </w:style>
  <w:style w:type="character" w:styleId="Appelnotedebasdep">
    <w:name w:val="footnote reference"/>
    <w:basedOn w:val="Policepardfaut"/>
    <w:uiPriority w:val="99"/>
    <w:semiHidden/>
    <w:unhideWhenUsed/>
    <w:rsid w:val="00983AF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36230-7D02-4011-8718-85E845DC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649</Words>
  <Characters>3700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1</cp:revision>
  <dcterms:created xsi:type="dcterms:W3CDTF">2025-12-31T17:39:00Z</dcterms:created>
  <dcterms:modified xsi:type="dcterms:W3CDTF">2025-12-31T18:15:00Z</dcterms:modified>
</cp:coreProperties>
</file>