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B5E" w:rsidRDefault="006A378C" w:rsidP="006A378C">
      <w:pPr>
        <w:jc w:val="center"/>
        <w:rPr>
          <w:rFonts w:ascii="Traditional Arabic" w:hAnsi="Traditional Arabic" w:cs="Traditional Arabic" w:hint="cs"/>
          <w:b/>
          <w:bCs/>
          <w:sz w:val="36"/>
          <w:szCs w:val="36"/>
          <w:rtl/>
          <w:lang w:bidi="ar-DZ"/>
        </w:rPr>
      </w:pPr>
      <w:r w:rsidRPr="006A378C">
        <w:rPr>
          <w:rFonts w:ascii="Traditional Arabic" w:hAnsi="Traditional Arabic" w:cs="Traditional Arabic" w:hint="cs"/>
          <w:b/>
          <w:bCs/>
          <w:sz w:val="36"/>
          <w:szCs w:val="36"/>
          <w:rtl/>
          <w:lang w:bidi="ar-DZ"/>
        </w:rPr>
        <w:t xml:space="preserve">المحاضرة الثانية عشرة :سيمياء الأهواء </w:t>
      </w:r>
    </w:p>
    <w:p w:rsidR="00672114" w:rsidRDefault="00672114" w:rsidP="00672114">
      <w:pPr>
        <w:jc w:val="both"/>
        <w:rPr>
          <w:rFonts w:ascii="Traditional Arabic" w:hAnsi="Traditional Arabic" w:cs="Traditional Arabic" w:hint="cs"/>
          <w:b/>
          <w:bCs/>
          <w:sz w:val="36"/>
          <w:szCs w:val="36"/>
          <w:rtl/>
          <w:lang w:bidi="ar-DZ"/>
        </w:rPr>
      </w:pPr>
    </w:p>
    <w:p w:rsidR="00672114" w:rsidRDefault="00672114" w:rsidP="00672114">
      <w:pPr>
        <w:pStyle w:val="Paragraphedeliste"/>
        <w:numPr>
          <w:ilvl w:val="0"/>
          <w:numId w:val="1"/>
        </w:numPr>
        <w:jc w:val="both"/>
        <w:rPr>
          <w:rFonts w:ascii="Traditional Arabic" w:hAnsi="Traditional Arabic" w:cs="Traditional Arabic" w:hint="cs"/>
          <w:b/>
          <w:bCs/>
          <w:sz w:val="36"/>
          <w:szCs w:val="36"/>
          <w:lang w:bidi="ar-DZ"/>
        </w:rPr>
      </w:pPr>
      <w:r>
        <w:rPr>
          <w:rFonts w:ascii="Traditional Arabic" w:hAnsi="Traditional Arabic" w:cs="Traditional Arabic" w:hint="cs"/>
          <w:b/>
          <w:bCs/>
          <w:sz w:val="36"/>
          <w:szCs w:val="36"/>
          <w:rtl/>
          <w:lang w:bidi="ar-DZ"/>
        </w:rPr>
        <w:t>تمهيد:</w:t>
      </w:r>
    </w:p>
    <w:p w:rsidR="00672114" w:rsidRPr="005E3660" w:rsidRDefault="005E3660" w:rsidP="005E3660">
      <w:pPr>
        <w:pStyle w:val="Paragraphedeliste"/>
        <w:spacing w:line="360" w:lineRule="auto"/>
        <w:ind w:left="84"/>
        <w:jc w:val="both"/>
        <w:rPr>
          <w:rFonts w:ascii="Traditional Arabic" w:hAnsi="Traditional Arabic" w:cs="Traditional Arabic" w:hint="cs"/>
          <w:sz w:val="36"/>
          <w:szCs w:val="36"/>
          <w:lang w:bidi="ar-DZ"/>
        </w:rPr>
      </w:pPr>
      <w:r>
        <w:rPr>
          <w:rFonts w:ascii="Traditional Arabic" w:hAnsi="Traditional Arabic" w:cs="Traditional Arabic" w:hint="cs"/>
          <w:sz w:val="36"/>
          <w:szCs w:val="36"/>
          <w:rtl/>
          <w:lang w:bidi="ar-DZ"/>
        </w:rPr>
        <w:t xml:space="preserve">      </w:t>
      </w:r>
      <w:r w:rsidR="00672114" w:rsidRPr="005E3660">
        <w:rPr>
          <w:rFonts w:ascii="Traditional Arabic" w:hAnsi="Traditional Arabic" w:cs="Traditional Arabic" w:hint="cs"/>
          <w:sz w:val="36"/>
          <w:szCs w:val="36"/>
          <w:rtl/>
          <w:lang w:bidi="ar-DZ"/>
        </w:rPr>
        <w:t xml:space="preserve">تندرج سيمياء </w:t>
      </w:r>
      <w:r w:rsidRPr="005E3660">
        <w:rPr>
          <w:rFonts w:ascii="Traditional Arabic" w:hAnsi="Traditional Arabic" w:cs="Traditional Arabic" w:hint="cs"/>
          <w:sz w:val="36"/>
          <w:szCs w:val="36"/>
          <w:rtl/>
          <w:lang w:bidi="ar-DZ"/>
        </w:rPr>
        <w:t>الأه</w:t>
      </w:r>
      <w:r>
        <w:rPr>
          <w:rFonts w:ascii="Traditional Arabic" w:hAnsi="Traditional Arabic" w:cs="Traditional Arabic" w:hint="cs"/>
          <w:sz w:val="36"/>
          <w:szCs w:val="36"/>
          <w:rtl/>
          <w:lang w:bidi="ar-DZ"/>
        </w:rPr>
        <w:t>وا</w:t>
      </w:r>
      <w:r w:rsidRPr="005E3660">
        <w:rPr>
          <w:rFonts w:ascii="Traditional Arabic" w:hAnsi="Traditional Arabic" w:cs="Traditional Arabic" w:hint="cs"/>
          <w:sz w:val="36"/>
          <w:szCs w:val="36"/>
          <w:rtl/>
          <w:lang w:bidi="ar-DZ"/>
        </w:rPr>
        <w:t>ء</w:t>
      </w:r>
      <w:r w:rsidR="00672114" w:rsidRPr="005E3660">
        <w:rPr>
          <w:rFonts w:ascii="Traditional Arabic" w:hAnsi="Traditional Arabic" w:cs="Traditional Arabic" w:hint="cs"/>
          <w:sz w:val="36"/>
          <w:szCs w:val="36"/>
          <w:rtl/>
          <w:lang w:bidi="ar-DZ"/>
        </w:rPr>
        <w:t xml:space="preserve"> ضمن التحولات الكبرى الت</w:t>
      </w:r>
      <w:r>
        <w:rPr>
          <w:rFonts w:ascii="Traditional Arabic" w:hAnsi="Traditional Arabic" w:cs="Traditional Arabic" w:hint="cs"/>
          <w:sz w:val="36"/>
          <w:szCs w:val="36"/>
          <w:rtl/>
          <w:lang w:bidi="ar-DZ"/>
        </w:rPr>
        <w:t>ي عرفها الفكر السيميائي المعاصر</w:t>
      </w:r>
      <w:r w:rsidR="00672114" w:rsidRPr="005E3660">
        <w:rPr>
          <w:rFonts w:ascii="Traditional Arabic" w:hAnsi="Traditional Arabic" w:cs="Traditional Arabic" w:hint="cs"/>
          <w:sz w:val="36"/>
          <w:szCs w:val="36"/>
          <w:rtl/>
          <w:lang w:bidi="ar-DZ"/>
        </w:rPr>
        <w:t xml:space="preserve">،حيث انتقل من الاهتمام من دراسة البنى اللغوية والسردية </w:t>
      </w:r>
      <w:r w:rsidRPr="005E3660">
        <w:rPr>
          <w:rFonts w:ascii="Traditional Arabic" w:hAnsi="Traditional Arabic" w:cs="Traditional Arabic" w:hint="cs"/>
          <w:sz w:val="36"/>
          <w:szCs w:val="36"/>
          <w:rtl/>
          <w:lang w:bidi="ar-DZ"/>
        </w:rPr>
        <w:t>إلى</w:t>
      </w:r>
      <w:r w:rsidR="00672114" w:rsidRPr="005E3660">
        <w:rPr>
          <w:rFonts w:ascii="Traditional Arabic" w:hAnsi="Traditional Arabic" w:cs="Traditional Arabic" w:hint="cs"/>
          <w:sz w:val="36"/>
          <w:szCs w:val="36"/>
          <w:rtl/>
          <w:lang w:bidi="ar-DZ"/>
        </w:rPr>
        <w:t xml:space="preserve"> </w:t>
      </w:r>
      <w:r w:rsidRPr="005E3660">
        <w:rPr>
          <w:rFonts w:ascii="Traditional Arabic" w:hAnsi="Traditional Arabic" w:cs="Traditional Arabic" w:hint="cs"/>
          <w:sz w:val="36"/>
          <w:szCs w:val="36"/>
          <w:rtl/>
          <w:lang w:bidi="ar-DZ"/>
        </w:rPr>
        <w:t>تحليل البعد الوجداني والانفعالي في الخطاب الأدبي ،فالمشاعر والأهواء لم تعد تُفهم بوصفها حالات نفسية داخلية معزولة ،بل باعتبارها انساقا دلالية فاعلة ومشاركة في إنتاج المعنى وتوجيه الفعل الإنساني داخل النصوص والخطابات .</w:t>
      </w:r>
    </w:p>
    <w:p w:rsidR="00672114" w:rsidRDefault="00672114" w:rsidP="00672114">
      <w:pPr>
        <w:pStyle w:val="Paragraphedeliste"/>
        <w:numPr>
          <w:ilvl w:val="0"/>
          <w:numId w:val="1"/>
        </w:numPr>
        <w:jc w:val="both"/>
        <w:rPr>
          <w:rFonts w:ascii="Traditional Arabic" w:hAnsi="Traditional Arabic" w:cs="Traditional Arabic" w:hint="cs"/>
          <w:b/>
          <w:bCs/>
          <w:sz w:val="36"/>
          <w:szCs w:val="36"/>
          <w:lang w:bidi="ar-DZ"/>
        </w:rPr>
      </w:pPr>
      <w:r w:rsidRPr="00672114">
        <w:rPr>
          <w:rFonts w:ascii="Traditional Arabic" w:hAnsi="Traditional Arabic" w:cs="Traditional Arabic" w:hint="cs"/>
          <w:b/>
          <w:bCs/>
          <w:sz w:val="36"/>
          <w:szCs w:val="36"/>
          <w:rtl/>
          <w:lang w:bidi="ar-DZ"/>
        </w:rPr>
        <w:t xml:space="preserve">مفهوم سيمياء </w:t>
      </w:r>
      <w:r w:rsidR="005E3660" w:rsidRPr="00672114">
        <w:rPr>
          <w:rFonts w:ascii="Traditional Arabic" w:hAnsi="Traditional Arabic" w:cs="Traditional Arabic" w:hint="cs"/>
          <w:b/>
          <w:bCs/>
          <w:sz w:val="36"/>
          <w:szCs w:val="36"/>
          <w:rtl/>
          <w:lang w:bidi="ar-DZ"/>
        </w:rPr>
        <w:t>الأهواء</w:t>
      </w:r>
      <w:r w:rsidRPr="00672114">
        <w:rPr>
          <w:rFonts w:ascii="Traditional Arabic" w:hAnsi="Traditional Arabic" w:cs="Traditional Arabic" w:hint="cs"/>
          <w:b/>
          <w:bCs/>
          <w:sz w:val="36"/>
          <w:szCs w:val="36"/>
          <w:rtl/>
          <w:lang w:bidi="ar-DZ"/>
        </w:rPr>
        <w:t>:</w:t>
      </w:r>
    </w:p>
    <w:p w:rsidR="00672114" w:rsidRDefault="00672114" w:rsidP="005E3660">
      <w:pPr>
        <w:pStyle w:val="Paragraphedeliste"/>
        <w:spacing w:line="360" w:lineRule="auto"/>
        <w:ind w:left="84" w:firstLine="636"/>
        <w:jc w:val="both"/>
        <w:rPr>
          <w:rFonts w:ascii="Traditional Arabic" w:hAnsi="Traditional Arabic" w:cs="Traditional Arabic" w:hint="cs"/>
          <w:sz w:val="36"/>
          <w:szCs w:val="36"/>
          <w:rtl/>
          <w:lang w:bidi="ar-DZ"/>
        </w:rPr>
      </w:pPr>
      <w:r w:rsidRPr="00672114">
        <w:rPr>
          <w:rFonts w:ascii="Traditional Arabic" w:hAnsi="Traditional Arabic" w:cs="Traditional Arabic" w:hint="cs"/>
          <w:sz w:val="36"/>
          <w:szCs w:val="36"/>
          <w:rtl/>
          <w:lang w:bidi="ar-DZ"/>
        </w:rPr>
        <w:t xml:space="preserve">سيمياء </w:t>
      </w:r>
      <w:r w:rsidR="005E3660" w:rsidRPr="00672114">
        <w:rPr>
          <w:rFonts w:ascii="Traditional Arabic" w:hAnsi="Traditional Arabic" w:cs="Traditional Arabic" w:hint="cs"/>
          <w:sz w:val="36"/>
          <w:szCs w:val="36"/>
          <w:rtl/>
          <w:lang w:bidi="ar-DZ"/>
        </w:rPr>
        <w:t>الأهواء</w:t>
      </w:r>
      <w:r w:rsidRPr="00672114">
        <w:rPr>
          <w:rFonts w:ascii="Traditional Arabic" w:hAnsi="Traditional Arabic" w:cs="Traditional Arabic" w:hint="cs"/>
          <w:sz w:val="36"/>
          <w:szCs w:val="36"/>
          <w:rtl/>
          <w:lang w:bidi="ar-DZ"/>
        </w:rPr>
        <w:t xml:space="preserve"> هي مقاربة تحليلية تهتم بمجمل الانفعالات والعواطف والمشاعر </w:t>
      </w:r>
      <w:r w:rsidR="005E3660" w:rsidRPr="00672114">
        <w:rPr>
          <w:rFonts w:ascii="Traditional Arabic" w:hAnsi="Traditional Arabic" w:cs="Traditional Arabic" w:hint="cs"/>
          <w:sz w:val="36"/>
          <w:szCs w:val="36"/>
          <w:rtl/>
          <w:lang w:bidi="ar-DZ"/>
        </w:rPr>
        <w:t>الإنسانية</w:t>
      </w:r>
      <w:r w:rsidRPr="00672114">
        <w:rPr>
          <w:rFonts w:ascii="Traditional Arabic" w:hAnsi="Traditional Arabic" w:cs="Traditional Arabic" w:hint="cs"/>
          <w:sz w:val="36"/>
          <w:szCs w:val="36"/>
          <w:rtl/>
          <w:lang w:bidi="ar-DZ"/>
        </w:rPr>
        <w:t xml:space="preserve"> كالخوف والحب والغضب والرغبة والكره ...من حيث تمثلاتها الدلالية داخل الخطاب ،وهي تنطلق من فرضية مفادها أن الهوى ليس مجرد شعور ،بل هو بنية دلالية قابلة للوصف والتحليل ،تخضع لقوانين التحول والتدرج والشدة .</w:t>
      </w:r>
    </w:p>
    <w:p w:rsidR="001C2DEF" w:rsidRPr="001C2DEF" w:rsidRDefault="001C2DEF" w:rsidP="001C2DEF">
      <w:pPr>
        <w:autoSpaceDE w:val="0"/>
        <w:autoSpaceDN w:val="0"/>
        <w:adjustRightInd w:val="0"/>
        <w:spacing w:after="0" w:line="36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rPr>
        <w:t xml:space="preserve">        يعتبر </w:t>
      </w:r>
      <w:r w:rsidRPr="001C2DEF">
        <w:rPr>
          <w:rFonts w:ascii="Traditional Arabic" w:hAnsi="Traditional Arabic" w:cs="Traditional Arabic"/>
          <w:sz w:val="36"/>
          <w:szCs w:val="36"/>
          <w:rtl/>
        </w:rPr>
        <w:t>إن الهوى المادة</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الأساس</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في</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سيمياء</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الأهواء،</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وهو</w:t>
      </w:r>
      <w:r>
        <w:rPr>
          <w:rFonts w:ascii="Traditional Arabic" w:hAnsi="Traditional Arabic" w:cs="Traditional Arabic" w:hint="cs"/>
          <w:sz w:val="36"/>
          <w:szCs w:val="36"/>
          <w:rtl/>
          <w:lang w:val="fr-FR" w:bidi="ar-DZ"/>
        </w:rPr>
        <w:t>"</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مقدم</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على</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الدلالات</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المستترة،</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ومن</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حيث</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الطبيعة</w:t>
      </w:r>
      <w:r w:rsidRPr="001C2DEF">
        <w:rPr>
          <w:rFonts w:ascii="Traditional Arabic" w:hAnsi="Traditional Arabic" w:cs="Traditional Arabic"/>
          <w:sz w:val="36"/>
          <w:szCs w:val="36"/>
          <w:rtl/>
          <w:lang w:bidi="ar-DZ"/>
        </w:rPr>
        <w:t xml:space="preserve"> </w:t>
      </w:r>
      <w:r w:rsidRPr="001C2DEF">
        <w:rPr>
          <w:rFonts w:ascii="Traditional Arabic" w:hAnsi="Traditional Arabic" w:cs="Traditional Arabic"/>
          <w:sz w:val="36"/>
          <w:szCs w:val="36"/>
          <w:rtl/>
        </w:rPr>
        <w:t>وممكنات</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التركيب،</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فهو</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سلسلة</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من</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الحالات</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الانفعالية</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التي</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lastRenderedPageBreak/>
        <w:t>تتطوّر</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خارج</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البُعدين</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المعرفيّ</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والتّداوليّ،</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فضلاً</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عن</w:t>
      </w:r>
      <w:r w:rsidRPr="001C2DEF">
        <w:rPr>
          <w:rFonts w:ascii="Traditional Arabic" w:hAnsi="Traditional Arabic" w:cs="Traditional Arabic"/>
          <w:sz w:val="36"/>
          <w:szCs w:val="36"/>
          <w:rtl/>
          <w:lang w:bidi="ar-DZ"/>
        </w:rPr>
        <w:t xml:space="preserve"> </w:t>
      </w:r>
      <w:r w:rsidRPr="001C2DEF">
        <w:rPr>
          <w:rFonts w:ascii="Traditional Arabic" w:hAnsi="Traditional Arabic" w:cs="Traditional Arabic"/>
          <w:sz w:val="36"/>
          <w:szCs w:val="36"/>
          <w:rtl/>
        </w:rPr>
        <w:t>أنه</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يُشكّل</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بُعداً</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جديداً</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داخل</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المسار</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التّوليديّ،</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يُطلق</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عليه</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البُعد</w:t>
      </w:r>
      <w:r w:rsidRPr="001C2DEF">
        <w:rPr>
          <w:rFonts w:ascii="Traditional Arabic" w:hAnsi="Traditional Arabic" w:cs="Traditional Arabic"/>
          <w:sz w:val="36"/>
          <w:szCs w:val="36"/>
        </w:rPr>
        <w:t xml:space="preserve"> </w:t>
      </w:r>
      <w:r w:rsidRPr="001C2DEF">
        <w:rPr>
          <w:rFonts w:ascii="Traditional Arabic" w:hAnsi="Traditional Arabic" w:cs="Traditional Arabic"/>
          <w:sz w:val="36"/>
          <w:szCs w:val="36"/>
          <w:rtl/>
        </w:rPr>
        <w:t>الانفعاليّ"</w:t>
      </w:r>
      <w:r>
        <w:rPr>
          <w:rStyle w:val="Appelnotedebasdep"/>
          <w:rFonts w:ascii="Traditional Arabic" w:hAnsi="Traditional Arabic" w:cs="Traditional Arabic"/>
          <w:sz w:val="36"/>
          <w:szCs w:val="36"/>
          <w:rtl/>
        </w:rPr>
        <w:footnoteReference w:customMarkFollows="1" w:id="2"/>
        <w:t>1</w:t>
      </w:r>
    </w:p>
    <w:p w:rsidR="00672114" w:rsidRDefault="005E3660" w:rsidP="005E3660">
      <w:pPr>
        <w:pStyle w:val="Paragraphedeliste"/>
        <w:spacing w:line="360" w:lineRule="auto"/>
        <w:ind w:left="84"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و</w:t>
      </w:r>
      <w:r w:rsidR="00672114">
        <w:rPr>
          <w:rFonts w:ascii="Traditional Arabic" w:hAnsi="Traditional Arabic" w:cs="Traditional Arabic" w:hint="cs"/>
          <w:sz w:val="36"/>
          <w:szCs w:val="36"/>
          <w:rtl/>
          <w:lang w:bidi="ar-DZ"/>
        </w:rPr>
        <w:t xml:space="preserve">تعد سيمياء </w:t>
      </w:r>
      <w:r>
        <w:rPr>
          <w:rFonts w:ascii="Traditional Arabic" w:hAnsi="Traditional Arabic" w:cs="Traditional Arabic" w:hint="cs"/>
          <w:sz w:val="36"/>
          <w:szCs w:val="36"/>
          <w:rtl/>
          <w:lang w:bidi="ar-DZ"/>
        </w:rPr>
        <w:t>الأهواء</w:t>
      </w:r>
      <w:r w:rsidR="00672114">
        <w:rPr>
          <w:rFonts w:ascii="Traditional Arabic" w:hAnsi="Traditional Arabic" w:cs="Traditional Arabic" w:hint="cs"/>
          <w:sz w:val="36"/>
          <w:szCs w:val="36"/>
          <w:rtl/>
          <w:lang w:bidi="ar-DZ"/>
        </w:rPr>
        <w:t xml:space="preserve"> من الاتجاهات السيميائية الحديثة التي اهتمت بدراسة الانفعالات والمشاعر </w:t>
      </w:r>
      <w:r>
        <w:rPr>
          <w:rFonts w:ascii="Traditional Arabic" w:hAnsi="Traditional Arabic" w:cs="Traditional Arabic" w:hint="cs"/>
          <w:sz w:val="36"/>
          <w:szCs w:val="36"/>
          <w:rtl/>
          <w:lang w:bidi="ar-DZ"/>
        </w:rPr>
        <w:t>الإنسانية</w:t>
      </w:r>
      <w:r w:rsidR="00672114">
        <w:rPr>
          <w:rFonts w:ascii="Traditional Arabic" w:hAnsi="Traditional Arabic" w:cs="Traditional Arabic" w:hint="cs"/>
          <w:sz w:val="36"/>
          <w:szCs w:val="36"/>
          <w:rtl/>
          <w:lang w:bidi="ar-DZ"/>
        </w:rPr>
        <w:t xml:space="preserve"> بوصفها ظواهر دلالية قابلة للتحليل ،وليست مجرد حالات نفسية داخلية معزولة ،فقد سعت هذه المقاربة </w:t>
      </w:r>
      <w:r>
        <w:rPr>
          <w:rFonts w:ascii="Traditional Arabic" w:hAnsi="Traditional Arabic" w:cs="Traditional Arabic" w:hint="cs"/>
          <w:sz w:val="36"/>
          <w:szCs w:val="36"/>
          <w:rtl/>
          <w:lang w:bidi="ar-DZ"/>
        </w:rPr>
        <w:t>إلى</w:t>
      </w:r>
      <w:r w:rsidR="00672114">
        <w:rPr>
          <w:rFonts w:ascii="Traditional Arabic" w:hAnsi="Traditional Arabic" w:cs="Traditional Arabic" w:hint="cs"/>
          <w:sz w:val="36"/>
          <w:szCs w:val="36"/>
          <w:rtl/>
          <w:lang w:bidi="ar-DZ"/>
        </w:rPr>
        <w:t xml:space="preserve"> فهم كيفية تشكل </w:t>
      </w:r>
      <w:r>
        <w:rPr>
          <w:rFonts w:ascii="Traditional Arabic" w:hAnsi="Traditional Arabic" w:cs="Traditional Arabic" w:hint="cs"/>
          <w:sz w:val="36"/>
          <w:szCs w:val="36"/>
          <w:rtl/>
          <w:lang w:bidi="ar-DZ"/>
        </w:rPr>
        <w:t>الأهواء</w:t>
      </w:r>
      <w:r w:rsidR="00672114">
        <w:rPr>
          <w:rFonts w:ascii="Traditional Arabic" w:hAnsi="Traditional Arabic" w:cs="Traditional Arabic" w:hint="cs"/>
          <w:sz w:val="36"/>
          <w:szCs w:val="36"/>
          <w:rtl/>
          <w:lang w:bidi="ar-DZ"/>
        </w:rPr>
        <w:t xml:space="preserve"> وتمثلها داخل الخطاب ،وكيف تتحول المشاعر </w:t>
      </w:r>
      <w:r>
        <w:rPr>
          <w:rFonts w:ascii="Traditional Arabic" w:hAnsi="Traditional Arabic" w:cs="Traditional Arabic" w:hint="cs"/>
          <w:sz w:val="36"/>
          <w:szCs w:val="36"/>
          <w:rtl/>
          <w:lang w:bidi="ar-DZ"/>
        </w:rPr>
        <w:t>إلى</w:t>
      </w:r>
      <w:r w:rsidR="00672114">
        <w:rPr>
          <w:rFonts w:ascii="Traditional Arabic" w:hAnsi="Traditional Arabic" w:cs="Traditional Arabic" w:hint="cs"/>
          <w:sz w:val="36"/>
          <w:szCs w:val="36"/>
          <w:rtl/>
          <w:lang w:bidi="ar-DZ"/>
        </w:rPr>
        <w:t xml:space="preserve"> علامات تعبر عن مواقف الذات وعلاقتها بالآخر والعالم .</w:t>
      </w:r>
    </w:p>
    <w:p w:rsidR="00672114" w:rsidRDefault="005E3660" w:rsidP="005E3660">
      <w:pPr>
        <w:pStyle w:val="Paragraphedeliste"/>
        <w:numPr>
          <w:ilvl w:val="0"/>
          <w:numId w:val="1"/>
        </w:numPr>
        <w:jc w:val="both"/>
        <w:rPr>
          <w:rFonts w:ascii="Traditional Arabic" w:hAnsi="Traditional Arabic" w:cs="Traditional Arabic" w:hint="cs"/>
          <w:b/>
          <w:bCs/>
          <w:sz w:val="36"/>
          <w:szCs w:val="36"/>
          <w:lang w:bidi="ar-DZ"/>
        </w:rPr>
      </w:pPr>
      <w:r w:rsidRPr="005E3660">
        <w:rPr>
          <w:rFonts w:ascii="Traditional Arabic" w:hAnsi="Traditional Arabic" w:cs="Traditional Arabic" w:hint="cs"/>
          <w:b/>
          <w:bCs/>
          <w:sz w:val="36"/>
          <w:szCs w:val="36"/>
          <w:rtl/>
          <w:lang w:bidi="ar-DZ"/>
        </w:rPr>
        <w:t>رواد سيمياء الأهواء :</w:t>
      </w:r>
    </w:p>
    <w:p w:rsidR="005E3660" w:rsidRPr="005E3660" w:rsidRDefault="005E3660" w:rsidP="005E3660">
      <w:pPr>
        <w:pStyle w:val="Paragraphedeliste"/>
        <w:spacing w:line="360" w:lineRule="auto"/>
        <w:ind w:left="84" w:firstLine="636"/>
        <w:jc w:val="both"/>
        <w:rPr>
          <w:rFonts w:ascii="Traditional Arabic" w:hAnsi="Traditional Arabic" w:cs="Traditional Arabic"/>
          <w:sz w:val="36"/>
          <w:szCs w:val="36"/>
          <w:lang w:bidi="ar-DZ"/>
        </w:rPr>
      </w:pPr>
      <w:r w:rsidRPr="005E3660">
        <w:rPr>
          <w:rFonts w:ascii="Traditional Arabic" w:hAnsi="Traditional Arabic" w:cs="Traditional Arabic" w:hint="cs"/>
          <w:sz w:val="36"/>
          <w:szCs w:val="36"/>
          <w:rtl/>
          <w:lang w:bidi="ar-DZ"/>
        </w:rPr>
        <w:t xml:space="preserve">ارتبطت سيمياء الأهواء بأعمال السيميائي الفرنسي ألخيرداس غريماس ،خاصة في مرحلته المتأخرة ،وبالاشتراك مع جان فونتانيل في كتابهما "سيمياء الاهواء حالات الأشياء وحالات الذات "،وقد مثل هذا الاتجاه محاولة لتجاوز الطابع العقلاني الصرف لسيمياء البنيوية وفتح مجالا أمام دراسة البعد الحسي والانفعالي في بناء المعنى </w:t>
      </w:r>
      <w:r>
        <w:rPr>
          <w:rFonts w:ascii="Traditional Arabic" w:hAnsi="Traditional Arabic" w:cs="Traditional Arabic" w:hint="cs"/>
          <w:sz w:val="36"/>
          <w:szCs w:val="36"/>
          <w:rtl/>
          <w:lang w:bidi="ar-DZ"/>
        </w:rPr>
        <w:t xml:space="preserve">،وانتقل التحليل السيميائي من التركيز على </w:t>
      </w:r>
      <w:r w:rsidR="001C2DEF">
        <w:rPr>
          <w:rFonts w:ascii="Traditional Arabic" w:hAnsi="Traditional Arabic" w:cs="Traditional Arabic" w:hint="cs"/>
          <w:sz w:val="36"/>
          <w:szCs w:val="36"/>
          <w:rtl/>
          <w:lang w:bidi="ar-DZ"/>
        </w:rPr>
        <w:t>البنى السردية واللسانية الصارمة إلى الاهتمام بالبعد الوجداني والانفعالي ،وصار الهوى عنصرا فاعلا وهاما في توجيه سلوك وبناء المسار الدلالي داخل النص .</w:t>
      </w:r>
    </w:p>
    <w:sectPr w:rsidR="005E3660" w:rsidRPr="005E3660" w:rsidSect="0050561B">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88E" w:rsidRDefault="00BB488E" w:rsidP="001C2DEF">
      <w:pPr>
        <w:spacing w:after="0" w:line="240" w:lineRule="auto"/>
      </w:pPr>
      <w:r>
        <w:separator/>
      </w:r>
    </w:p>
  </w:endnote>
  <w:endnote w:type="continuationSeparator" w:id="1">
    <w:p w:rsidR="00BB488E" w:rsidRDefault="00BB488E" w:rsidP="001C2D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88E" w:rsidRDefault="00BB488E" w:rsidP="001C2DEF">
      <w:pPr>
        <w:spacing w:after="0" w:line="240" w:lineRule="auto"/>
      </w:pPr>
      <w:r>
        <w:separator/>
      </w:r>
    </w:p>
  </w:footnote>
  <w:footnote w:type="continuationSeparator" w:id="1">
    <w:p w:rsidR="00BB488E" w:rsidRDefault="00BB488E" w:rsidP="001C2DEF">
      <w:pPr>
        <w:spacing w:after="0" w:line="240" w:lineRule="auto"/>
      </w:pPr>
      <w:r>
        <w:continuationSeparator/>
      </w:r>
    </w:p>
  </w:footnote>
  <w:footnote w:id="2">
    <w:p w:rsidR="001C2DEF" w:rsidRPr="001C2DEF" w:rsidRDefault="001C2DEF" w:rsidP="001C2DEF">
      <w:pPr>
        <w:pStyle w:val="Notedebasdepage"/>
        <w:jc w:val="both"/>
        <w:rPr>
          <w:lang w:val="fr-FR" w:bidi="ar-DZ"/>
        </w:rPr>
      </w:pPr>
      <w:r>
        <w:rPr>
          <w:rStyle w:val="Appelnotedebasdep"/>
          <w:rtl/>
        </w:rPr>
        <w:t>1</w:t>
      </w:r>
      <w:r>
        <w:rPr>
          <w:rtl/>
        </w:rPr>
        <w:t xml:space="preserve"> </w:t>
      </w:r>
      <w:r>
        <w:rPr>
          <w:rFonts w:hint="cs"/>
          <w:rtl/>
          <w:lang w:bidi="ar-DZ"/>
        </w:rPr>
        <w:t xml:space="preserve">- </w:t>
      </w:r>
      <w:r w:rsidRPr="001C2DEF">
        <w:rPr>
          <w:rFonts w:ascii="Traditional Arabic" w:hAnsi="Traditional Arabic" w:cs="Traditional Arabic"/>
          <w:sz w:val="24"/>
          <w:szCs w:val="24"/>
          <w:rtl/>
        </w:rPr>
        <w:t>نردين رضا كريم محمد</w:t>
      </w:r>
      <w:r w:rsidRPr="001C2DEF">
        <w:rPr>
          <w:rFonts w:ascii="Traditional Arabic" w:hAnsi="Traditional Arabic" w:cs="Traditional Arabic"/>
          <w:sz w:val="24"/>
          <w:szCs w:val="24"/>
          <w:rtl/>
          <w:lang w:bidi="ar-DZ"/>
        </w:rPr>
        <w:t>،</w:t>
      </w:r>
      <w:r w:rsidRPr="001C2DEF">
        <w:rPr>
          <w:rFonts w:ascii="Traditional Arabic" w:hAnsi="Traditional Arabic" w:cs="Traditional Arabic"/>
          <w:sz w:val="24"/>
          <w:szCs w:val="24"/>
          <w:rtl/>
        </w:rPr>
        <w:t xml:space="preserve"> سيميائيّة الأَهواء في قَصيدة الأَسر " وَليلٍ كَهمِّّ العَاشقين ..." للشاعر الأَندلسيّ ابن سِّوَار الأُشبونيّ، مجلة آداب المستنصرية / اللسانيات،عدد:</w:t>
      </w:r>
      <w:r w:rsidRPr="001C2DEF">
        <w:rPr>
          <w:rFonts w:ascii="Traditional Arabic" w:hAnsi="Traditional Arabic" w:cs="Traditional Arabic"/>
          <w:sz w:val="24"/>
          <w:szCs w:val="24"/>
          <w:lang w:val="fr-FR"/>
        </w:rPr>
        <w:t>107</w:t>
      </w:r>
      <w:r w:rsidRPr="001C2DEF">
        <w:rPr>
          <w:rFonts w:ascii="Traditional Arabic" w:hAnsi="Traditional Arabic" w:cs="Traditional Arabic"/>
          <w:sz w:val="24"/>
          <w:szCs w:val="24"/>
          <w:rtl/>
          <w:lang w:val="fr-FR" w:bidi="ar-DZ"/>
        </w:rPr>
        <w:t>،ص:</w:t>
      </w:r>
      <w:r w:rsidRPr="001C2DEF">
        <w:rPr>
          <w:rFonts w:ascii="Traditional Arabic" w:hAnsi="Traditional Arabic" w:cs="Traditional Arabic"/>
          <w:sz w:val="24"/>
          <w:szCs w:val="24"/>
          <w:lang w:val="fr-FR" w:bidi="ar-DZ"/>
        </w:rPr>
        <w:t>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56EFA"/>
    <w:multiLevelType w:val="hybridMultilevel"/>
    <w:tmpl w:val="1842DC90"/>
    <w:lvl w:ilvl="0" w:tplc="C340EA90">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A378C"/>
    <w:rsid w:val="001C2DEF"/>
    <w:rsid w:val="00211416"/>
    <w:rsid w:val="002A5440"/>
    <w:rsid w:val="0050561B"/>
    <w:rsid w:val="005E3660"/>
    <w:rsid w:val="00672114"/>
    <w:rsid w:val="006A378C"/>
    <w:rsid w:val="007D6C0C"/>
    <w:rsid w:val="00BB48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16"/>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2114"/>
    <w:pPr>
      <w:ind w:left="720"/>
      <w:contextualSpacing/>
    </w:pPr>
  </w:style>
  <w:style w:type="paragraph" w:styleId="Notedebasdepage">
    <w:name w:val="footnote text"/>
    <w:basedOn w:val="Normal"/>
    <w:link w:val="NotedebasdepageCar"/>
    <w:uiPriority w:val="99"/>
    <w:semiHidden/>
    <w:unhideWhenUsed/>
    <w:rsid w:val="001C2DE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C2DEF"/>
    <w:rPr>
      <w:sz w:val="20"/>
      <w:szCs w:val="20"/>
    </w:rPr>
  </w:style>
  <w:style w:type="character" w:styleId="Appelnotedebasdep">
    <w:name w:val="footnote reference"/>
    <w:basedOn w:val="Policepardfaut"/>
    <w:uiPriority w:val="99"/>
    <w:semiHidden/>
    <w:unhideWhenUsed/>
    <w:rsid w:val="001C2DE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3538-D013-41AE-81AB-E657310D1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274</Words>
  <Characters>1565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2</cp:revision>
  <dcterms:created xsi:type="dcterms:W3CDTF">2025-12-31T16:54:00Z</dcterms:created>
  <dcterms:modified xsi:type="dcterms:W3CDTF">2025-12-31T17:39:00Z</dcterms:modified>
</cp:coreProperties>
</file>