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11" w:rsidRDefault="00503D11" w:rsidP="00503D11">
      <w:pPr>
        <w:ind w:firstLine="467"/>
        <w:jc w:val="center"/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 xml:space="preserve">المحاضرة الثالثة عشر :الجهود العربية في التحليل </w:t>
      </w:r>
      <w:proofErr w:type="spellStart"/>
      <w:r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>السميائي</w:t>
      </w:r>
      <w:proofErr w:type="spellEnd"/>
      <w:r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 xml:space="preserve"> </w:t>
      </w:r>
    </w:p>
    <w:p w:rsidR="00503D11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انتشر الدرس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السميائي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في الساحة النقدية والأدبية منذ ستينات القرن الماضي في أوربا وآسيا وأمريكا ،وهذا من خلال الجمعيات التي اهتمت بهذا العلم الجمعية لعالمية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للسميوطيقا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في باريس سنة 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lang w:val="fr-FR" w:bidi="ar-DZ"/>
        </w:rPr>
        <w:t>1969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،حيث أصدرت مجلة فصلية عنوانها (</w:t>
      </w:r>
      <w:proofErr w:type="spellStart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>Semiotoca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) ،ثم انعقد أول مؤتمر عالمي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>للسميوطيقا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 سنة </w:t>
      </w:r>
      <w:r>
        <w:rPr>
          <w:rFonts w:ascii="Traditional Arabic" w:hAnsi="Traditional Arabic" w:cs="Traditional Arabic"/>
          <w:i w:val="0"/>
          <w:iCs w:val="0"/>
          <w:sz w:val="28"/>
          <w:szCs w:val="28"/>
          <w:lang w:val="fr-FR" w:bidi="ar-SA"/>
        </w:rPr>
        <w:t>1975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،أما في العالم العربي فإن انتشار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السميائية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عرف تباطؤا ملحوظا مقارنة بالنقد الغربي ،وحاول بعض الباحثين والنقاد العرب ترجمة بعض المراجع والكتب التي تهتم بمصطلحات ومفاهيم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السميائية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وتأليف معاجم حولها ،كما قاموا ببعض الدراسات التطبيقية على نصوص شعرية وسردية عربية .</w:t>
      </w:r>
    </w:p>
    <w:p w:rsidR="00503D11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DZ"/>
        </w:rPr>
      </w:pPr>
      <w:r w:rsidRPr="00300D4C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 xml:space="preserve">المحاولات الأولى للدرس </w:t>
      </w:r>
      <w:proofErr w:type="spellStart"/>
      <w:r w:rsidRPr="00300D4C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>السميائي</w:t>
      </w:r>
      <w:proofErr w:type="spellEnd"/>
      <w:r w:rsidRPr="00300D4C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 xml:space="preserve"> العربي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:</w:t>
      </w:r>
    </w:p>
    <w:p w:rsidR="00503D11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إن أولى المحاولات لانتقال الدرس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السميائي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للنقد العربي تمثلت في ترجمة كتاب دو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سوسير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</w:t>
      </w:r>
      <w:proofErr w:type="spellStart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>Cours</w:t>
      </w:r>
      <w:proofErr w:type="spellEnd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 xml:space="preserve"> De </w:t>
      </w:r>
      <w:proofErr w:type="spellStart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>Linguistiques</w:t>
      </w:r>
      <w:proofErr w:type="spellEnd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>Générale</w:t>
      </w:r>
      <w:proofErr w:type="spellEnd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 xml:space="preserve"> "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"،حيث ترجمه كل من (يوسف غازي/مجيد النصر ) إلى العربية بعنوان </w:t>
      </w:r>
      <w:r w:rsidRPr="003535C0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bidi="ar-DZ"/>
        </w:rPr>
        <w:t>(محاضرات في الألسنية العامة)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 الصادر عن دار النشر الجزائرية سنة  </w:t>
      </w:r>
      <w:r>
        <w:rPr>
          <w:rFonts w:ascii="Traditional Arabic" w:hAnsi="Traditional Arabic" w:cs="Traditional Arabic"/>
          <w:i w:val="0"/>
          <w:iCs w:val="0"/>
          <w:sz w:val="32"/>
          <w:szCs w:val="32"/>
          <w:lang w:bidi="ar-SA"/>
        </w:rPr>
        <w:t>1986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،كذلك ترجمة (صالح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القرمادي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/محمد عجينة )بعنوان </w:t>
      </w:r>
      <w:r w:rsidRPr="003535C0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bidi="ar-SA"/>
        </w:rPr>
        <w:t>(دروس في الألسنية العامة )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عن دار نشر تونسية،وترجمة "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أ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حمد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نعيم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ال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كرعين</w:t>
      </w:r>
      <w:proofErr w:type="spellEnd"/>
      <w:r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>"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من جامعة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بير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الفلسطنية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</w:t>
      </w:r>
      <w:r w:rsidRPr="003535C0"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بعنوان </w:t>
      </w:r>
      <w:r w:rsidRPr="003535C0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bidi="ar-DZ"/>
        </w:rPr>
        <w:t>( فصول في علم اللغة</w:t>
      </w:r>
      <w:r w:rsidRPr="003535C0"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 </w:t>
      </w:r>
      <w:r w:rsidRPr="003535C0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bidi="ar-DZ"/>
        </w:rPr>
        <w:t>العام )</w:t>
      </w:r>
      <w:r w:rsidRPr="003535C0"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DZ"/>
        </w:rPr>
        <w:t xml:space="preserve"> عن دار المعارف الإسكندرية سنة </w:t>
      </w:r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lang w:val="fr-FR" w:bidi="ar-DZ"/>
        </w:rPr>
        <w:t>1985</w:t>
      </w:r>
      <w:r w:rsidRPr="003535C0"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،وهذه الترجمة كانت عن ترجمة </w:t>
      </w:r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>"</w:t>
      </w:r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وادي</w:t>
      </w:r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proofErr w:type="spellStart"/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باس</w:t>
      </w:r>
      <w:r w:rsidRPr="003535C0"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كين</w:t>
      </w:r>
      <w:proofErr w:type="spellEnd"/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Wade </w:t>
      </w:r>
      <w:proofErr w:type="spellStart"/>
      <w:r w:rsidRPr="003535C0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>Baskin</w:t>
      </w:r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>e</w:t>
      </w:r>
      <w:proofErr w:type="spellEnd"/>
      <w:r>
        <w:rPr>
          <w:rFonts w:ascii="Traditional Arabic" w:hAnsi="Traditional Arabic" w:cs="Traditional Arabic"/>
          <w:i w:val="0"/>
          <w:iCs w:val="0"/>
          <w:sz w:val="28"/>
          <w:szCs w:val="28"/>
          <w:lang w:bidi="ar-SA"/>
        </w:rPr>
        <w:t xml:space="preserve"> 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.</w:t>
      </w:r>
    </w:p>
    <w:p w:rsidR="00503D11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تأليف بعض الكتب والمعاجم التي استثمرت مصطلحات عديدة نذكر منها على سبيل المثال لا الحصر منها:</w:t>
      </w:r>
      <w:r w:rsidRPr="00300D4C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DZ"/>
        </w:rPr>
        <w:t>الكتب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محمود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السعدان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علم اللغة وظف فيه مصطلح </w:t>
      </w:r>
      <w:proofErr w:type="spellStart"/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السيمالوجيا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،تمام حسان مناهج بحث اللغة وظف مصطلح </w:t>
      </w:r>
      <w:r w:rsidRPr="00245BCE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u w:val="single"/>
          <w:rtl/>
          <w:lang w:val="fr-FR" w:bidi="ar-DZ"/>
        </w:rPr>
        <w:t>علم الدلالة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،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ميشال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زكريا الألسنية علم اللغة الحديث وظف مصطلح </w:t>
      </w:r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علم</w:t>
      </w:r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lang w:bidi="ar-SA"/>
        </w:rPr>
        <w:t xml:space="preserve"> </w:t>
      </w:r>
      <w:r w:rsidRPr="00245BCE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u w:val="single"/>
          <w:rtl/>
          <w:lang w:bidi="ar-SA"/>
        </w:rPr>
        <w:t>(</w:t>
      </w:r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الإشارة</w:t>
      </w:r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lang w:bidi="ar-SA"/>
        </w:rPr>
        <w:t xml:space="preserve"> / </w:t>
      </w:r>
      <w:proofErr w:type="spellStart"/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السميولوجيا</w:t>
      </w:r>
      <w:proofErr w:type="spellEnd"/>
      <w:r w:rsidRPr="00245BCE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u w:val="single"/>
          <w:rtl/>
          <w:lang w:val="fr-FR" w:bidi="ar-DZ"/>
        </w:rPr>
        <w:t>)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حنون مبارك دروس في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السميائيات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وظف مصطلح </w:t>
      </w:r>
      <w:r w:rsidRPr="00245BCE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u w:val="single"/>
          <w:rtl/>
          <w:lang w:bidi="ar-SA"/>
        </w:rPr>
        <w:lastRenderedPageBreak/>
        <w:t>(</w:t>
      </w:r>
      <w:proofErr w:type="spellStart"/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السيميوطيقا</w:t>
      </w:r>
      <w:proofErr w:type="spellEnd"/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lang w:bidi="ar-SA"/>
        </w:rPr>
        <w:t>/</w:t>
      </w:r>
      <w:proofErr w:type="spellStart"/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السميولوجيا</w:t>
      </w:r>
      <w:proofErr w:type="spellEnd"/>
      <w:r w:rsidRPr="00245BCE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u w:val="single"/>
          <w:rtl/>
          <w:lang w:bidi="ar-SA"/>
        </w:rPr>
        <w:t>)</w:t>
      </w:r>
      <w:r w:rsidRPr="00245BCE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u w:val="single"/>
          <w:rtl/>
          <w:lang w:val="fr-FR" w:bidi="ar-DZ"/>
        </w:rPr>
        <w:t>،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الأخضر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بوجمعة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ندوة البحث اللساني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>والسميائي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DZ"/>
        </w:rPr>
        <w:t xml:space="preserve"> وظف مصطلح </w:t>
      </w:r>
      <w:proofErr w:type="spellStart"/>
      <w:r w:rsidRPr="00245BCE">
        <w:rPr>
          <w:rFonts w:ascii="Traditional Arabic" w:hAnsi="Traditional Arabic" w:cs="Traditional Arabic"/>
          <w:b/>
          <w:bCs/>
          <w:i w:val="0"/>
          <w:iCs w:val="0"/>
          <w:sz w:val="36"/>
          <w:szCs w:val="36"/>
          <w:u w:val="single"/>
          <w:rtl/>
          <w:lang w:bidi="ar-SA"/>
        </w:rPr>
        <w:t>السميائية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.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..</w:t>
      </w:r>
    </w:p>
    <w:p w:rsidR="00503D11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SA"/>
        </w:rPr>
      </w:pPr>
      <w:r w:rsidRPr="00300D4C">
        <w:rPr>
          <w:rFonts w:ascii="Traditional Arabic" w:hAnsi="Traditional Arabic" w:cs="Traditional Arabic" w:hint="cs"/>
          <w:b/>
          <w:bCs/>
          <w:i w:val="0"/>
          <w:iCs w:val="0"/>
          <w:sz w:val="36"/>
          <w:szCs w:val="36"/>
          <w:rtl/>
          <w:lang w:val="fr-FR" w:bidi="ar-SA"/>
        </w:rPr>
        <w:t>المعاجم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عبد السلام المسدي قاموس اللسانيات ،رشيد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الحمزاوي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معجم المصطلحات اللغوية الحديثة،رشيد بن مالك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DZ"/>
        </w:rPr>
        <w:t>،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DZ"/>
        </w:rPr>
        <w:t xml:space="preserve">قاموس 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مصطلحات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التحليل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proofErr w:type="spellStart"/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السيميائي</w:t>
      </w:r>
      <w:proofErr w:type="spellEnd"/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للنصوص (عربي/انجليزي/فرنسي</w:t>
      </w:r>
      <w:r w:rsidRPr="00AF6FE2"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SA"/>
        </w:rPr>
        <w:t>)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...</w:t>
      </w:r>
    </w:p>
    <w:p w:rsidR="00503D11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SA"/>
        </w:rPr>
      </w:pP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تطبيقات المنهج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السميائي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على النصوص العربية من أمثال تجربة عبد الملك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مرتاض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"دراسة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تفكيكية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لقصيدة أين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ليلالي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لمحمد العيد آل خليفة ،بنية الخطاب دراسة تشريحية لقصيدة "أشجان يمانية  "تحليل الخطاب السردي معالجة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تفككيكية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مركبة لرواية زُقاق المدّق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،تجربة عبد القادر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فيدوح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دلائلية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النص الأدبي دراسة في نونية بكر بن حماد ،عبد الحميد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بورايو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القراءة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السميائية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لحكايات كليلة ودمنة (الحمامة المطوقة)وهي تجارب تطبيقية تعتمد على تفكيك النص وتحليله وفق إجراءات وآليات المنهج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السميائي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...</w:t>
      </w:r>
    </w:p>
    <w:p w:rsidR="00503D11" w:rsidRPr="00B22CAE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إن المتمعن في هذه التجارب سواء منها المتعلق بالتأليف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او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التحليل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السميائي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يجد أن النقد العربي كشف عن قدرة كبيرة في نقل المصطلح وترجمته وهذا تأثرا  بالنقد الغربي خصوصا "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غريماس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"،"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كورتاس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"،"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جوليا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كريستفا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""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تودروف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""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رولاند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بارث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>"،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"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جو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ن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كلود</w:t>
      </w:r>
      <w:r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/>
          <w:i w:val="0"/>
          <w:iCs w:val="0"/>
          <w:sz w:val="36"/>
          <w:szCs w:val="36"/>
          <w:rtl/>
          <w:lang w:bidi="ar-SA"/>
        </w:rPr>
        <w:t>كوكي</w:t>
      </w:r>
      <w:proofErr w:type="spellEnd"/>
      <w:r>
        <w:rPr>
          <w:rFonts w:ascii="Traditional Arabic" w:hAnsi="Traditional Arabic" w:cs="Traditional Arabic"/>
          <w:i w:val="0"/>
          <w:iCs w:val="0"/>
          <w:sz w:val="36"/>
          <w:szCs w:val="36"/>
          <w:lang w:bidi="ar-SA"/>
        </w:rPr>
        <w:t>"</w:t>
      </w: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،حيث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اعاد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النقاد العرب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انتاج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التجارب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السميائية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الغربية بأساليب مختلفة سواء بتبني مصطلحات عديدة أو من ناحية الدراسات التطبيقية والاختصاص في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سميائيات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معينة مثل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سمياء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الشعر ،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سمياء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السردية ،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وسمياء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الصورة الاشهارية سعيد </w:t>
      </w:r>
      <w:proofErr w:type="spellStart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>بنكراد</w:t>
      </w:r>
      <w:proofErr w:type="spellEnd"/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bidi="ar-SA"/>
        </w:rPr>
        <w:t xml:space="preserve"> في المغرب على سبيل التمثيل .</w:t>
      </w:r>
    </w:p>
    <w:p w:rsidR="00503D11" w:rsidRPr="00A939AE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SA"/>
        </w:rPr>
      </w:pPr>
      <w:r>
        <w:rPr>
          <w:rFonts w:ascii="Traditional Arabic" w:hAnsi="Traditional Arabic" w:cs="Traditional Arabic" w:hint="cs"/>
          <w:i w:val="0"/>
          <w:iCs w:val="0"/>
          <w:sz w:val="36"/>
          <w:szCs w:val="36"/>
          <w:rtl/>
          <w:lang w:val="fr-FR" w:bidi="ar-SA"/>
        </w:rPr>
        <w:t xml:space="preserve"> </w:t>
      </w:r>
    </w:p>
    <w:p w:rsidR="00503D11" w:rsidRPr="00C47A65" w:rsidRDefault="00503D11" w:rsidP="00503D11">
      <w:pPr>
        <w:ind w:firstLine="467"/>
        <w:jc w:val="both"/>
        <w:rPr>
          <w:rFonts w:ascii="Traditional Arabic" w:hAnsi="Traditional Arabic" w:cs="Traditional Arabic"/>
          <w:i w:val="0"/>
          <w:iCs w:val="0"/>
          <w:sz w:val="36"/>
          <w:szCs w:val="36"/>
          <w:rtl/>
          <w:lang w:val="fr-FR" w:bidi="ar-DZ"/>
        </w:rPr>
      </w:pPr>
    </w:p>
    <w:p w:rsidR="00172B5E" w:rsidRDefault="00503D11"/>
    <w:sectPr w:rsidR="00172B5E" w:rsidSect="00E73870"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03D11"/>
    <w:rsid w:val="002A5440"/>
    <w:rsid w:val="005022AC"/>
    <w:rsid w:val="00503D11"/>
    <w:rsid w:val="0050561B"/>
    <w:rsid w:val="007D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11"/>
    <w:pPr>
      <w:bidi/>
      <w:spacing w:line="288" w:lineRule="auto"/>
    </w:pPr>
    <w:rPr>
      <w:i/>
      <w:iCs/>
      <w:sz w:val="20"/>
      <w:szCs w:val="20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1</cp:revision>
  <dcterms:created xsi:type="dcterms:W3CDTF">2025-11-09T16:50:00Z</dcterms:created>
  <dcterms:modified xsi:type="dcterms:W3CDTF">2025-11-09T16:51:00Z</dcterms:modified>
</cp:coreProperties>
</file>