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46C" w:rsidRDefault="0076246C" w:rsidP="00D26558">
      <w:pPr>
        <w:bidi/>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المحاضرة</w:t>
      </w:r>
      <w:proofErr w:type="gramStart"/>
      <w:r>
        <w:rPr>
          <w:rFonts w:ascii="Traditional Arabic" w:hAnsi="Traditional Arabic" w:cs="Traditional Arabic" w:hint="cs"/>
          <w:b/>
          <w:bCs/>
          <w:sz w:val="32"/>
          <w:szCs w:val="32"/>
          <w:rtl/>
          <w:lang w:val="fr-FR" w:bidi="ar-DZ"/>
        </w:rPr>
        <w:t xml:space="preserve"> ..</w:t>
      </w:r>
      <w:proofErr w:type="gramEnd"/>
    </w:p>
    <w:p w:rsidR="0076246C" w:rsidRPr="0076246C" w:rsidRDefault="0076246C" w:rsidP="0076246C">
      <w:pPr>
        <w:bidi/>
        <w:jc w:val="both"/>
        <w:rPr>
          <w:rFonts w:ascii="Traditional Arabic" w:hAnsi="Traditional Arabic" w:cs="Traditional Arabic" w:hint="cs"/>
          <w:b/>
          <w:bCs/>
          <w:sz w:val="32"/>
          <w:szCs w:val="32"/>
          <w:rtl/>
          <w:lang w:val="fr-FR" w:bidi="ar-DZ"/>
        </w:rPr>
      </w:pPr>
      <w:r>
        <w:rPr>
          <w:rFonts w:ascii="Traditional Arabic" w:hAnsi="Traditional Arabic" w:cs="Traditional Arabic" w:hint="cs"/>
          <w:b/>
          <w:bCs/>
          <w:sz w:val="32"/>
          <w:szCs w:val="32"/>
          <w:rtl/>
          <w:lang w:val="fr-FR" w:bidi="ar-DZ"/>
        </w:rPr>
        <w:t>مباحث الفلسفة الإسلامية</w:t>
      </w:r>
    </w:p>
    <w:p w:rsidR="009F7955" w:rsidRDefault="00F65DF7" w:rsidP="0076246C">
      <w:pPr>
        <w:bidi/>
        <w:jc w:val="both"/>
        <w:rPr>
          <w:rFonts w:ascii="Traditional Arabic" w:hAnsi="Traditional Arabic" w:cs="Traditional Arabic"/>
          <w:b/>
          <w:bCs/>
          <w:sz w:val="32"/>
          <w:szCs w:val="32"/>
          <w:rtl/>
          <w:lang w:bidi="ar-DZ"/>
        </w:rPr>
      </w:pPr>
      <w:r w:rsidRPr="0076246C">
        <w:rPr>
          <w:rFonts w:ascii="Traditional Arabic" w:hAnsi="Traditional Arabic" w:cs="Traditional Arabic"/>
          <w:b/>
          <w:bCs/>
          <w:sz w:val="32"/>
          <w:szCs w:val="32"/>
          <w:rtl/>
          <w:lang w:bidi="ar-DZ"/>
        </w:rPr>
        <w:t>مبحث النبوة</w:t>
      </w:r>
    </w:p>
    <w:p w:rsidR="00CD66E8" w:rsidRDefault="00CD66E8" w:rsidP="00CD66E8">
      <w:pPr>
        <w:bidi/>
        <w:jc w:val="both"/>
        <w:rPr>
          <w:rFonts w:ascii="Traditional Arabic" w:hAnsi="Traditional Arabic" w:cs="Traditional Arabic" w:hint="cs"/>
          <w:color w:val="000000"/>
          <w:sz w:val="32"/>
          <w:szCs w:val="32"/>
          <w:rtl/>
        </w:rPr>
      </w:pPr>
      <w:r w:rsidRPr="00CD66E8">
        <w:rPr>
          <w:rFonts w:ascii="Traditional Arabic" w:hAnsi="Traditional Arabic" w:cs="Traditional Arabic" w:hint="cs"/>
          <w:b/>
          <w:bCs/>
          <w:sz w:val="32"/>
          <w:szCs w:val="32"/>
          <w:rtl/>
          <w:lang w:bidi="ar-DZ"/>
        </w:rPr>
        <w:t>الهدف من الدرس</w:t>
      </w:r>
      <w:r>
        <w:rPr>
          <w:rFonts w:ascii="Traditional Arabic" w:hAnsi="Traditional Arabic" w:cs="Traditional Arabic" w:hint="cs"/>
          <w:sz w:val="32"/>
          <w:szCs w:val="32"/>
          <w:rtl/>
          <w:lang w:bidi="ar-DZ"/>
        </w:rPr>
        <w:t xml:space="preserve"> تعرف الطالب ع</w:t>
      </w:r>
      <w:r w:rsidRPr="00CD66E8">
        <w:rPr>
          <w:rFonts w:ascii="Traditional Arabic" w:hAnsi="Traditional Arabic" w:cs="Traditional Arabic" w:hint="cs"/>
          <w:sz w:val="32"/>
          <w:szCs w:val="32"/>
          <w:rtl/>
          <w:lang w:bidi="ar-DZ"/>
        </w:rPr>
        <w:t xml:space="preserve">لى </w:t>
      </w:r>
      <w:r w:rsidRPr="00CD66E8">
        <w:rPr>
          <w:rFonts w:ascii="Traditional Arabic" w:hAnsi="Traditional Arabic" w:cs="Traditional Arabic"/>
          <w:color w:val="000000"/>
          <w:sz w:val="32"/>
          <w:szCs w:val="32"/>
          <w:rtl/>
        </w:rPr>
        <w:t xml:space="preserve">مفهوم النبوة لدى أوائل فلاسفة المسلمين، أمثال الكندي </w:t>
      </w:r>
      <w:proofErr w:type="gramStart"/>
      <w:r w:rsidRPr="00CD66E8">
        <w:rPr>
          <w:rFonts w:ascii="Traditional Arabic" w:hAnsi="Traditional Arabic" w:cs="Traditional Arabic"/>
          <w:color w:val="000000"/>
          <w:sz w:val="32"/>
          <w:szCs w:val="32"/>
          <w:rtl/>
        </w:rPr>
        <w:t>و الفارابي</w:t>
      </w:r>
      <w:proofErr w:type="gramEnd"/>
      <w:r w:rsidRPr="00CD66E8">
        <w:rPr>
          <w:rFonts w:ascii="Traditional Arabic" w:hAnsi="Traditional Arabic" w:cs="Traditional Arabic"/>
          <w:color w:val="000000"/>
          <w:sz w:val="32"/>
          <w:szCs w:val="32"/>
          <w:rtl/>
        </w:rPr>
        <w:t xml:space="preserve"> و ابن رشد و ابن سينا</w:t>
      </w:r>
      <w:r>
        <w:rPr>
          <w:rFonts w:ascii="Traditional Arabic" w:hAnsi="Traditional Arabic" w:cs="Traditional Arabic" w:hint="cs"/>
          <w:color w:val="000000"/>
          <w:sz w:val="32"/>
          <w:szCs w:val="32"/>
          <w:rtl/>
        </w:rPr>
        <w:t>.</w:t>
      </w:r>
    </w:p>
    <w:p w:rsidR="00CD66E8" w:rsidRPr="00CD66E8" w:rsidRDefault="00CD66E8" w:rsidP="00CD66E8">
      <w:pPr>
        <w:bidi/>
        <w:jc w:val="both"/>
        <w:rPr>
          <w:rFonts w:ascii="Traditional Arabic" w:hAnsi="Traditional Arabic" w:cs="Traditional Arabic"/>
          <w:b/>
          <w:bCs/>
          <w:sz w:val="32"/>
          <w:szCs w:val="32"/>
          <w:lang w:val="en-GB" w:bidi="ar-DZ"/>
        </w:rPr>
      </w:pPr>
      <w:r w:rsidRPr="00CD66E8">
        <w:rPr>
          <w:rFonts w:ascii="Traditional Arabic" w:hAnsi="Traditional Arabic" w:cs="Traditional Arabic" w:hint="cs"/>
          <w:b/>
          <w:bCs/>
          <w:color w:val="000000"/>
          <w:sz w:val="32"/>
          <w:szCs w:val="32"/>
          <w:rtl/>
        </w:rPr>
        <w:t>مقدمة:</w:t>
      </w:r>
    </w:p>
    <w:p w:rsidR="00CE359F" w:rsidRPr="0076246C" w:rsidRDefault="00CE359F" w:rsidP="00D26558">
      <w:pPr>
        <w:pStyle w:val="NormalWeb"/>
        <w:shd w:val="clear" w:color="auto" w:fill="FFFFFF"/>
        <w:bidi/>
        <w:spacing w:before="0" w:beforeAutospacing="0" w:after="0" w:afterAutospacing="0"/>
        <w:jc w:val="both"/>
        <w:rPr>
          <w:rFonts w:ascii="Traditional Arabic" w:hAnsi="Traditional Arabic" w:cs="Traditional Arabic"/>
          <w:color w:val="000000"/>
          <w:sz w:val="32"/>
          <w:szCs w:val="32"/>
        </w:rPr>
      </w:pPr>
      <w:r w:rsidRPr="0076246C">
        <w:rPr>
          <w:rFonts w:ascii="Traditional Arabic" w:hAnsi="Traditional Arabic" w:cs="Traditional Arabic"/>
          <w:color w:val="000000"/>
          <w:sz w:val="32"/>
          <w:szCs w:val="32"/>
          <w:rtl/>
        </w:rPr>
        <w:t xml:space="preserve">مفهوم النبوة لدى أوائل فلاسفة المسلمين، أمثال الكندي </w:t>
      </w:r>
      <w:proofErr w:type="gramStart"/>
      <w:r w:rsidRPr="0076246C">
        <w:rPr>
          <w:rFonts w:ascii="Traditional Arabic" w:hAnsi="Traditional Arabic" w:cs="Traditional Arabic"/>
          <w:color w:val="000000"/>
          <w:sz w:val="32"/>
          <w:szCs w:val="32"/>
          <w:rtl/>
        </w:rPr>
        <w:t>و الفارابي</w:t>
      </w:r>
      <w:proofErr w:type="gramEnd"/>
      <w:r w:rsidR="00CD66E8">
        <w:rPr>
          <w:rFonts w:ascii="Traditional Arabic" w:hAnsi="Traditional Arabic" w:cs="Traditional Arabic"/>
          <w:color w:val="000000"/>
          <w:sz w:val="32"/>
          <w:szCs w:val="32"/>
          <w:rtl/>
        </w:rPr>
        <w:t xml:space="preserve"> و ابن رشد و ابن سينا، </w:t>
      </w:r>
      <w:r w:rsidR="00CD66E8">
        <w:rPr>
          <w:rFonts w:ascii="Traditional Arabic" w:hAnsi="Traditional Arabic" w:cs="Traditional Arabic" w:hint="cs"/>
          <w:color w:val="000000"/>
          <w:sz w:val="32"/>
          <w:szCs w:val="32"/>
          <w:rtl/>
        </w:rPr>
        <w:t>حث أن</w:t>
      </w:r>
      <w:r w:rsidR="00CD66E8">
        <w:rPr>
          <w:rFonts w:ascii="Traditional Arabic" w:hAnsi="Traditional Arabic" w:cs="Traditional Arabic"/>
          <w:color w:val="000000"/>
          <w:sz w:val="32"/>
          <w:szCs w:val="32"/>
          <w:rtl/>
        </w:rPr>
        <w:t xml:space="preserve">هم يرون </w:t>
      </w:r>
      <w:r w:rsidR="00CD66E8">
        <w:rPr>
          <w:rFonts w:ascii="Traditional Arabic" w:hAnsi="Traditional Arabic" w:cs="Traditional Arabic" w:hint="cs"/>
          <w:color w:val="000000"/>
          <w:sz w:val="32"/>
          <w:szCs w:val="32"/>
          <w:rtl/>
        </w:rPr>
        <w:t>أ</w:t>
      </w:r>
      <w:r w:rsidRPr="0076246C">
        <w:rPr>
          <w:rFonts w:ascii="Traditional Arabic" w:hAnsi="Traditional Arabic" w:cs="Traditional Arabic"/>
          <w:color w:val="000000"/>
          <w:sz w:val="32"/>
          <w:szCs w:val="32"/>
          <w:rtl/>
        </w:rPr>
        <w:t>نه لا تعارض بين العقل و الشرع، و لا ببن الفيلسوف و النبي، كما تبين إجماعهم على ضرورة النبوة عقلا، و حاجة البشرية إليها، و انه لا غنية في العقل عنها، الا أن تفسيرهم لها و للمعجزة، دليلا عليها، متأثر بنظراتهم في التوثيق بين الدين و الفلسفة بحسب مدارسهم الفلسفية، و بحسب نظرية المعرفة لديهم</w:t>
      </w:r>
      <w:r w:rsidRPr="0076246C">
        <w:rPr>
          <w:rFonts w:ascii="Traditional Arabic" w:hAnsi="Traditional Arabic" w:cs="Traditional Arabic"/>
          <w:color w:val="000000"/>
          <w:sz w:val="32"/>
          <w:szCs w:val="32"/>
        </w:rPr>
        <w:t>.</w:t>
      </w:r>
    </w:p>
    <w:p w:rsidR="00D26558" w:rsidRPr="0076246C" w:rsidRDefault="00CE359F" w:rsidP="00D26558">
      <w:pPr>
        <w:pStyle w:val="NormalWeb"/>
        <w:shd w:val="clear" w:color="auto" w:fill="FFFFFF"/>
        <w:bidi/>
        <w:spacing w:before="0" w:beforeAutospacing="0" w:after="0" w:afterAutospacing="0"/>
        <w:jc w:val="both"/>
        <w:rPr>
          <w:rFonts w:ascii="Traditional Arabic" w:hAnsi="Traditional Arabic" w:cs="Traditional Arabic"/>
          <w:color w:val="000000"/>
          <w:sz w:val="32"/>
          <w:szCs w:val="32"/>
          <w:rtl/>
        </w:rPr>
      </w:pPr>
      <w:r w:rsidRPr="0076246C">
        <w:rPr>
          <w:rFonts w:ascii="Traditional Arabic" w:hAnsi="Traditional Arabic" w:cs="Traditional Arabic"/>
          <w:color w:val="000000"/>
          <w:sz w:val="32"/>
          <w:szCs w:val="32"/>
          <w:rtl/>
        </w:rPr>
        <w:t xml:space="preserve">و عالج البحث تفسيرهم للنبوة وفق </w:t>
      </w:r>
      <w:proofErr w:type="gramStart"/>
      <w:r w:rsidRPr="0076246C">
        <w:rPr>
          <w:rFonts w:ascii="Traditional Arabic" w:hAnsi="Traditional Arabic" w:cs="Traditional Arabic"/>
          <w:color w:val="000000"/>
          <w:sz w:val="32"/>
          <w:szCs w:val="32"/>
          <w:rtl/>
        </w:rPr>
        <w:t>اتجاهين :</w:t>
      </w:r>
      <w:proofErr w:type="gramEnd"/>
    </w:p>
    <w:p w:rsidR="00CE359F" w:rsidRPr="0076246C" w:rsidRDefault="00CE359F" w:rsidP="00450252">
      <w:pPr>
        <w:pStyle w:val="NormalWeb"/>
        <w:shd w:val="clear" w:color="auto" w:fill="FFFFFF"/>
        <w:bidi/>
        <w:spacing w:before="0" w:beforeAutospacing="0" w:after="0" w:afterAutospacing="0"/>
        <w:jc w:val="both"/>
        <w:rPr>
          <w:rFonts w:ascii="Traditional Arabic" w:hAnsi="Traditional Arabic" w:cs="Traditional Arabic"/>
          <w:color w:val="000000"/>
          <w:sz w:val="32"/>
          <w:szCs w:val="32"/>
        </w:rPr>
      </w:pPr>
      <w:r w:rsidRPr="0076246C">
        <w:rPr>
          <w:rFonts w:ascii="Traditional Arabic" w:hAnsi="Traditional Arabic" w:cs="Traditional Arabic"/>
          <w:color w:val="000000"/>
          <w:sz w:val="32"/>
          <w:szCs w:val="32"/>
          <w:rtl/>
        </w:rPr>
        <w:t xml:space="preserve"> </w:t>
      </w:r>
      <w:r w:rsidR="00450252">
        <w:rPr>
          <w:rFonts w:ascii="Traditional Arabic" w:hAnsi="Traditional Arabic" w:cs="Traditional Arabic" w:hint="cs"/>
          <w:color w:val="000000"/>
          <w:sz w:val="32"/>
          <w:szCs w:val="32"/>
          <w:rtl/>
        </w:rPr>
        <w:t>1</w:t>
      </w:r>
      <w:r w:rsidR="00D26558" w:rsidRPr="0076246C">
        <w:rPr>
          <w:rFonts w:ascii="Traditional Arabic" w:hAnsi="Traditional Arabic" w:cs="Traditional Arabic"/>
          <w:color w:val="000000"/>
          <w:sz w:val="32"/>
          <w:szCs w:val="32"/>
        </w:rPr>
        <w:t>.</w:t>
      </w:r>
      <w:r w:rsidRPr="0076246C">
        <w:rPr>
          <w:rFonts w:ascii="Traditional Arabic" w:hAnsi="Traditional Arabic" w:cs="Traditional Arabic"/>
          <w:b/>
          <w:bCs/>
          <w:color w:val="000000"/>
          <w:sz w:val="32"/>
          <w:szCs w:val="32"/>
          <w:rtl/>
        </w:rPr>
        <w:t xml:space="preserve">اتجاه الكندي </w:t>
      </w:r>
      <w:proofErr w:type="gramStart"/>
      <w:r w:rsidRPr="0076246C">
        <w:rPr>
          <w:rFonts w:ascii="Traditional Arabic" w:hAnsi="Traditional Arabic" w:cs="Traditional Arabic"/>
          <w:b/>
          <w:bCs/>
          <w:color w:val="000000"/>
          <w:sz w:val="32"/>
          <w:szCs w:val="32"/>
          <w:rtl/>
        </w:rPr>
        <w:t>و ابن</w:t>
      </w:r>
      <w:proofErr w:type="gramEnd"/>
      <w:r w:rsidRPr="0076246C">
        <w:rPr>
          <w:rFonts w:ascii="Traditional Arabic" w:hAnsi="Traditional Arabic" w:cs="Traditional Arabic"/>
          <w:b/>
          <w:bCs/>
          <w:color w:val="000000"/>
          <w:sz w:val="32"/>
          <w:szCs w:val="32"/>
          <w:rtl/>
        </w:rPr>
        <w:t xml:space="preserve"> رشد</w:t>
      </w:r>
      <w:r w:rsidRPr="0076246C">
        <w:rPr>
          <w:rFonts w:ascii="Traditional Arabic" w:hAnsi="Traditional Arabic" w:cs="Traditional Arabic"/>
          <w:color w:val="000000"/>
          <w:sz w:val="32"/>
          <w:szCs w:val="32"/>
          <w:rtl/>
        </w:rPr>
        <w:t>، فقد كان تفسيرهما لها و للمعجزة قائما على تفسير عقلي لا يتعارض فيه الفيلسوف مع النبي، و انه لا يمتنع عقليا أن يصل النبي بقواه العقلية فيما أودعه الله فيه، و أوحى إليه إلى ما يصل إليه الفيلسوف، و تجري المعجزات على يديه دون رياضة و كسب</w:t>
      </w:r>
      <w:r w:rsidRPr="0076246C">
        <w:rPr>
          <w:rFonts w:ascii="Traditional Arabic" w:hAnsi="Traditional Arabic" w:cs="Traditional Arabic"/>
          <w:color w:val="000000"/>
          <w:sz w:val="32"/>
          <w:szCs w:val="32"/>
        </w:rPr>
        <w:t>.</w:t>
      </w:r>
    </w:p>
    <w:p w:rsidR="00CE359F" w:rsidRPr="0076246C" w:rsidRDefault="00450252" w:rsidP="004D3CCF">
      <w:pPr>
        <w:pStyle w:val="NormalWeb"/>
        <w:shd w:val="clear" w:color="auto" w:fill="FFFFFF"/>
        <w:bidi/>
        <w:spacing w:before="0" w:beforeAutospacing="0" w:after="0" w:afterAutospacing="0"/>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2)</w:t>
      </w:r>
      <w:r w:rsidR="00D26558" w:rsidRPr="0076246C">
        <w:rPr>
          <w:rFonts w:ascii="Traditional Arabic" w:hAnsi="Traditional Arabic" w:cs="Traditional Arabic" w:hint="cs"/>
          <w:color w:val="000000"/>
          <w:sz w:val="32"/>
          <w:szCs w:val="32"/>
          <w:rtl/>
        </w:rPr>
        <w:t xml:space="preserve"> </w:t>
      </w:r>
      <w:r w:rsidR="00CE359F" w:rsidRPr="0076246C">
        <w:rPr>
          <w:rFonts w:ascii="Traditional Arabic" w:hAnsi="Traditional Arabic" w:cs="Traditional Arabic"/>
          <w:color w:val="000000"/>
          <w:sz w:val="32"/>
          <w:szCs w:val="32"/>
          <w:rtl/>
        </w:rPr>
        <w:t xml:space="preserve">اتجاه الفارابي و ابن سينا، و قد أوغلا في تفسير النبوة، و بالتالي في تفسير المعجزة تفسيرا فيضيا عقليا وفق نظرية العقول، و تقسيمات النفس الفلسفية لديهما، بعيدا عن الحس الإسلامي و النصوص الشرعية، و اعتبروا في كيفيتيهما بنصوص أغرت الباحثين بالقول بنظرية كسب النبوة بالجهد و </w:t>
      </w:r>
      <w:proofErr w:type="spellStart"/>
      <w:r w:rsidR="00CE359F" w:rsidRPr="0076246C">
        <w:rPr>
          <w:rFonts w:ascii="Traditional Arabic" w:hAnsi="Traditional Arabic" w:cs="Traditional Arabic"/>
          <w:color w:val="000000"/>
          <w:sz w:val="32"/>
          <w:szCs w:val="32"/>
          <w:rtl/>
        </w:rPr>
        <w:t>التريض</w:t>
      </w:r>
      <w:proofErr w:type="spellEnd"/>
      <w:r w:rsidR="00CE359F" w:rsidRPr="0076246C">
        <w:rPr>
          <w:rFonts w:ascii="Traditional Arabic" w:hAnsi="Traditional Arabic" w:cs="Traditional Arabic"/>
          <w:color w:val="000000"/>
          <w:sz w:val="32"/>
          <w:szCs w:val="32"/>
          <w:rtl/>
        </w:rPr>
        <w:t xml:space="preserve">، و بقوة المخيلة التي يفيض عليها العقل الفعال عندهما، و أن المعجزة تصرف من قوة نفس النبي في عالم العناصر، مما يخالف إجماع علماء الإسلام القائل بأن النبوة اصطفاء من الله للنبي دون كسب منه، </w:t>
      </w:r>
      <w:proofErr w:type="gramStart"/>
      <w:r w:rsidR="00CE359F" w:rsidRPr="0076246C">
        <w:rPr>
          <w:rFonts w:ascii="Traditional Arabic" w:hAnsi="Traditional Arabic" w:cs="Traditional Arabic"/>
          <w:color w:val="000000"/>
          <w:sz w:val="32"/>
          <w:szCs w:val="32"/>
          <w:rtl/>
        </w:rPr>
        <w:t>و أن</w:t>
      </w:r>
      <w:proofErr w:type="gramEnd"/>
      <w:r w:rsidR="00CE359F" w:rsidRPr="0076246C">
        <w:rPr>
          <w:rFonts w:ascii="Traditional Arabic" w:hAnsi="Traditional Arabic" w:cs="Traditional Arabic"/>
          <w:color w:val="000000"/>
          <w:sz w:val="32"/>
          <w:szCs w:val="32"/>
          <w:rtl/>
        </w:rPr>
        <w:t xml:space="preserve"> المعجزة أمر خارق للعادة يظهره الله تعالى على يد النبي تصديقا لدعواه، و لا تصرف للنبي فيها</w:t>
      </w:r>
      <w:r w:rsidR="004D3CCF" w:rsidRPr="0076246C">
        <w:rPr>
          <w:rFonts w:ascii="Traditional Arabic" w:hAnsi="Traditional Arabic" w:cs="Traditional Arabic"/>
          <w:color w:val="000000"/>
          <w:sz w:val="32"/>
          <w:szCs w:val="32"/>
        </w:rPr>
        <w:t>.</w:t>
      </w:r>
    </w:p>
    <w:p w:rsidR="00AD79C1" w:rsidRPr="0076246C" w:rsidRDefault="00AD79C1" w:rsidP="00D26558">
      <w:pPr>
        <w:bidi/>
        <w:jc w:val="both"/>
        <w:rPr>
          <w:rFonts w:ascii="Traditional Arabic" w:hAnsi="Traditional Arabic" w:cs="Traditional Arabic"/>
          <w:sz w:val="32"/>
          <w:szCs w:val="32"/>
          <w:rtl/>
          <w:lang w:bidi="ar-DZ"/>
        </w:rPr>
      </w:pPr>
      <w:r w:rsidRPr="0076246C">
        <w:rPr>
          <w:rFonts w:ascii="Traditional Arabic" w:hAnsi="Traditional Arabic" w:cs="Traditional Arabic"/>
          <w:sz w:val="32"/>
          <w:szCs w:val="32"/>
          <w:rtl/>
          <w:lang w:bidi="ar-DZ"/>
        </w:rPr>
        <w:t>خالف كثير من الفلاسفة المسمين مفهوم النبوة كما هو في الإيديولوجية الإسلامية الرسمية ومن هؤلاء</w:t>
      </w:r>
      <w:r w:rsidRPr="0076246C">
        <w:rPr>
          <w:rFonts w:ascii="Traditional Arabic" w:hAnsi="Traditional Arabic" w:cs="Traditional Arabic"/>
          <w:sz w:val="32"/>
          <w:szCs w:val="32"/>
          <w:lang w:bidi="ar-DZ"/>
        </w:rPr>
        <w:t>:</w:t>
      </w:r>
    </w:p>
    <w:p w:rsidR="00AD79C1" w:rsidRPr="0076246C" w:rsidRDefault="00D26558" w:rsidP="004D3CCF">
      <w:pPr>
        <w:bidi/>
        <w:jc w:val="both"/>
        <w:rPr>
          <w:rFonts w:ascii="Traditional Arabic" w:hAnsi="Traditional Arabic" w:cs="Traditional Arabic"/>
          <w:b/>
          <w:bCs/>
          <w:sz w:val="32"/>
          <w:szCs w:val="32"/>
          <w:rtl/>
          <w:lang w:bidi="ar-DZ"/>
        </w:rPr>
      </w:pPr>
      <w:r w:rsidRPr="0076246C">
        <w:rPr>
          <w:rFonts w:ascii="Traditional Arabic" w:hAnsi="Traditional Arabic" w:cs="Traditional Arabic"/>
          <w:b/>
          <w:bCs/>
          <w:sz w:val="32"/>
          <w:szCs w:val="32"/>
          <w:rtl/>
          <w:lang w:bidi="ar-DZ"/>
        </w:rPr>
        <w:t>الفارابي</w:t>
      </w:r>
      <w:r w:rsidR="004D3CCF" w:rsidRPr="0076246C">
        <w:rPr>
          <w:rFonts w:ascii="Traditional Arabic" w:hAnsi="Traditional Arabic" w:cs="Traditional Arabic" w:hint="cs"/>
          <w:b/>
          <w:bCs/>
          <w:sz w:val="32"/>
          <w:szCs w:val="32"/>
          <w:rtl/>
          <w:lang w:bidi="ar-DZ"/>
        </w:rPr>
        <w:t xml:space="preserve"> </w:t>
      </w:r>
      <w:r w:rsidR="00AD79C1" w:rsidRPr="0076246C">
        <w:rPr>
          <w:rFonts w:ascii="Traditional Arabic" w:hAnsi="Traditional Arabic" w:cs="Traditional Arabic"/>
          <w:sz w:val="32"/>
          <w:szCs w:val="32"/>
          <w:rtl/>
          <w:lang w:bidi="ar-DZ"/>
        </w:rPr>
        <w:t>يقسم الفارابي العلم بالأشياء إلى</w:t>
      </w:r>
      <w:r w:rsidR="00AD79C1" w:rsidRPr="0076246C">
        <w:rPr>
          <w:rFonts w:ascii="Traditional Arabic" w:hAnsi="Traditional Arabic" w:cs="Traditional Arabic"/>
          <w:sz w:val="32"/>
          <w:szCs w:val="32"/>
          <w:lang w:bidi="ar-DZ"/>
        </w:rPr>
        <w:t>:</w:t>
      </w:r>
    </w:p>
    <w:p w:rsidR="00AD79C1" w:rsidRPr="0076246C" w:rsidRDefault="00450252" w:rsidP="004D3CCF">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1)</w:t>
      </w:r>
      <w:r w:rsidR="00AD79C1" w:rsidRPr="0076246C">
        <w:rPr>
          <w:rFonts w:ascii="Traditional Arabic" w:hAnsi="Traditional Arabic" w:cs="Traditional Arabic"/>
          <w:sz w:val="32"/>
          <w:szCs w:val="32"/>
          <w:lang w:bidi="ar-DZ"/>
        </w:rPr>
        <w:t xml:space="preserve"> </w:t>
      </w:r>
      <w:r w:rsidR="00AD79C1" w:rsidRPr="0076246C">
        <w:rPr>
          <w:rFonts w:ascii="Traditional Arabic" w:hAnsi="Traditional Arabic" w:cs="Traditional Arabic"/>
          <w:sz w:val="32"/>
          <w:szCs w:val="32"/>
          <w:rtl/>
          <w:lang w:bidi="ar-DZ"/>
        </w:rPr>
        <w:t>علم يكون بالقوة الناطقة (القوة الفكرية التي بها تكون الفكرة والرؤية والتأمل والاستنباط). وهذه المعرفة هي معرفة الفيلسوف وهي أعلى مراتب المعرفة</w:t>
      </w:r>
      <w:r w:rsidR="00AD79C1" w:rsidRPr="0076246C">
        <w:rPr>
          <w:rFonts w:ascii="Traditional Arabic" w:hAnsi="Traditional Arabic" w:cs="Traditional Arabic"/>
          <w:sz w:val="32"/>
          <w:szCs w:val="32"/>
          <w:lang w:bidi="ar-DZ"/>
        </w:rPr>
        <w:t>.</w:t>
      </w:r>
    </w:p>
    <w:p w:rsidR="00AD79C1" w:rsidRPr="0076246C" w:rsidRDefault="00450252" w:rsidP="00D2655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r w:rsidR="00AD79C1" w:rsidRPr="0076246C">
        <w:rPr>
          <w:rFonts w:ascii="Traditional Arabic" w:hAnsi="Traditional Arabic" w:cs="Traditional Arabic"/>
          <w:sz w:val="32"/>
          <w:szCs w:val="32"/>
          <w:lang w:bidi="ar-DZ"/>
        </w:rPr>
        <w:t xml:space="preserve"> </w:t>
      </w:r>
      <w:r w:rsidR="00AD79C1" w:rsidRPr="0076246C">
        <w:rPr>
          <w:rFonts w:ascii="Traditional Arabic" w:hAnsi="Traditional Arabic" w:cs="Traditional Arabic"/>
          <w:sz w:val="32"/>
          <w:szCs w:val="32"/>
          <w:rtl/>
          <w:lang w:bidi="ar-DZ"/>
        </w:rPr>
        <w:t>علم يكون بالمتخيلة التي هي مصدر الإلهام والوحي والنبوة. والمعرفة التي تكون بالمتخيلة هي أعلى من المعرفة الحسية واقل من المعرفة الفلسفية</w:t>
      </w:r>
      <w:r w:rsidR="00AD79C1" w:rsidRPr="0076246C">
        <w:rPr>
          <w:rFonts w:ascii="Traditional Arabic" w:hAnsi="Traditional Arabic" w:cs="Traditional Arabic"/>
          <w:sz w:val="32"/>
          <w:szCs w:val="32"/>
          <w:lang w:bidi="ar-DZ"/>
        </w:rPr>
        <w:t>.</w:t>
      </w:r>
    </w:p>
    <w:p w:rsidR="00AD79C1" w:rsidRPr="0076246C" w:rsidRDefault="00450252" w:rsidP="004D3CCF">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 </w:t>
      </w:r>
      <w:r w:rsidR="00AD79C1" w:rsidRPr="0076246C">
        <w:rPr>
          <w:rFonts w:ascii="Traditional Arabic" w:hAnsi="Traditional Arabic" w:cs="Traditional Arabic"/>
          <w:sz w:val="32"/>
          <w:szCs w:val="32"/>
          <w:rtl/>
          <w:lang w:bidi="ar-DZ"/>
        </w:rPr>
        <w:t>لم يكون بالإحساس</w:t>
      </w:r>
      <w:r w:rsidR="00AD79C1" w:rsidRPr="0076246C">
        <w:rPr>
          <w:rFonts w:ascii="Traditional Arabic" w:hAnsi="Traditional Arabic" w:cs="Traditional Arabic"/>
          <w:sz w:val="32"/>
          <w:szCs w:val="32"/>
          <w:lang w:bidi="ar-DZ"/>
        </w:rPr>
        <w:t>.</w:t>
      </w:r>
      <w:r w:rsidR="004D3CCF" w:rsidRPr="0076246C">
        <w:rPr>
          <w:rFonts w:ascii="Traditional Arabic" w:hAnsi="Traditional Arabic" w:cs="Traditional Arabic" w:hint="cs"/>
          <w:sz w:val="32"/>
          <w:szCs w:val="32"/>
          <w:rtl/>
          <w:lang w:bidi="ar-DZ"/>
        </w:rPr>
        <w:t xml:space="preserve"> </w:t>
      </w:r>
      <w:r w:rsidR="00AD79C1" w:rsidRPr="0076246C">
        <w:rPr>
          <w:rFonts w:ascii="Traditional Arabic" w:hAnsi="Traditional Arabic" w:cs="Traditional Arabic"/>
          <w:sz w:val="32"/>
          <w:szCs w:val="32"/>
          <w:rtl/>
          <w:lang w:bidi="ar-DZ"/>
        </w:rPr>
        <w:t>وكل إنسان عنده جميع هذه القوى المعرفية ويتدرج الناس ومعارفهم حسب استخدامها</w:t>
      </w:r>
      <w:r w:rsidR="00AD79C1" w:rsidRPr="0076246C">
        <w:rPr>
          <w:rFonts w:ascii="Traditional Arabic" w:hAnsi="Traditional Arabic" w:cs="Traditional Arabic"/>
          <w:sz w:val="32"/>
          <w:szCs w:val="32"/>
          <w:lang w:bidi="ar-DZ"/>
        </w:rPr>
        <w:t>.</w:t>
      </w:r>
    </w:p>
    <w:p w:rsidR="00AD79C1" w:rsidRPr="0076246C" w:rsidRDefault="00AD79C1" w:rsidP="00D26558">
      <w:pPr>
        <w:bidi/>
        <w:jc w:val="both"/>
        <w:rPr>
          <w:rFonts w:ascii="Traditional Arabic" w:hAnsi="Traditional Arabic" w:cs="Traditional Arabic"/>
          <w:sz w:val="32"/>
          <w:szCs w:val="32"/>
          <w:rtl/>
          <w:lang w:bidi="ar-DZ"/>
        </w:rPr>
      </w:pPr>
      <w:r w:rsidRPr="0076246C">
        <w:rPr>
          <w:rFonts w:ascii="Traditional Arabic" w:hAnsi="Traditional Arabic" w:cs="Traditional Arabic"/>
          <w:sz w:val="32"/>
          <w:szCs w:val="32"/>
          <w:rtl/>
          <w:lang w:bidi="ar-DZ"/>
        </w:rPr>
        <w:t xml:space="preserve">ينفي الفارابي الوحي بمفهومة الديني </w:t>
      </w:r>
      <w:proofErr w:type="gramStart"/>
      <w:r w:rsidRPr="0076246C">
        <w:rPr>
          <w:rFonts w:ascii="Traditional Arabic" w:hAnsi="Traditional Arabic" w:cs="Traditional Arabic"/>
          <w:sz w:val="32"/>
          <w:szCs w:val="32"/>
          <w:rtl/>
          <w:lang w:bidi="ar-DZ"/>
        </w:rPr>
        <w:t>اللاهوتي,</w:t>
      </w:r>
      <w:proofErr w:type="gramEnd"/>
      <w:r w:rsidRPr="0076246C">
        <w:rPr>
          <w:rFonts w:ascii="Traditional Arabic" w:hAnsi="Traditional Arabic" w:cs="Traditional Arabic"/>
          <w:sz w:val="32"/>
          <w:szCs w:val="32"/>
          <w:rtl/>
          <w:lang w:bidi="ar-DZ"/>
        </w:rPr>
        <w:t xml:space="preserve"> فهو يرى أن منشأ الوحي هو مخيلة الإنسان - غير منفصلة عن الموجودات الحسية. والنبوة هي أكمل المراتب التي يبلغها الإنسان بقوته المتخيلة. وهذه المرتبة ليست وقفا على فرد أو فئة من الناس بل يستطيع أن يبلغها كل إنسان</w:t>
      </w:r>
      <w:r w:rsidRPr="0076246C">
        <w:rPr>
          <w:rFonts w:ascii="Traditional Arabic" w:hAnsi="Traditional Arabic" w:cs="Traditional Arabic"/>
          <w:sz w:val="32"/>
          <w:szCs w:val="32"/>
          <w:lang w:bidi="ar-DZ"/>
        </w:rPr>
        <w:t>.</w:t>
      </w:r>
    </w:p>
    <w:p w:rsidR="00AD79C1" w:rsidRPr="0076246C" w:rsidRDefault="00AD79C1" w:rsidP="00D26558">
      <w:pPr>
        <w:bidi/>
        <w:jc w:val="both"/>
        <w:rPr>
          <w:rFonts w:ascii="Traditional Arabic" w:hAnsi="Traditional Arabic" w:cs="Traditional Arabic"/>
          <w:sz w:val="32"/>
          <w:szCs w:val="32"/>
          <w:rtl/>
          <w:lang w:bidi="ar-DZ"/>
        </w:rPr>
      </w:pPr>
      <w:proofErr w:type="gramStart"/>
      <w:r w:rsidRPr="0076246C">
        <w:rPr>
          <w:rFonts w:ascii="Traditional Arabic" w:hAnsi="Traditional Arabic" w:cs="Traditional Arabic"/>
          <w:sz w:val="32"/>
          <w:szCs w:val="32"/>
          <w:rtl/>
          <w:lang w:bidi="ar-DZ"/>
        </w:rPr>
        <w:t>و بناء</w:t>
      </w:r>
      <w:proofErr w:type="gramEnd"/>
      <w:r w:rsidRPr="0076246C">
        <w:rPr>
          <w:rFonts w:ascii="Traditional Arabic" w:hAnsi="Traditional Arabic" w:cs="Traditional Arabic"/>
          <w:sz w:val="32"/>
          <w:szCs w:val="32"/>
          <w:rtl/>
          <w:lang w:bidi="ar-DZ"/>
        </w:rPr>
        <w:t xml:space="preserve"> على ذلك فإن النبي يرى رؤيته النبوية بواسطة المخيلة. وهي عملية يمكن لأي إنسان أن يمارسها. وهذا موقف ينزل بالنبي إلى منازل البشر الآخرين دون امتياز خاص من حيث المعرفة</w:t>
      </w:r>
      <w:r w:rsidRPr="0076246C">
        <w:rPr>
          <w:rFonts w:ascii="Traditional Arabic" w:hAnsi="Traditional Arabic" w:cs="Traditional Arabic"/>
          <w:sz w:val="32"/>
          <w:szCs w:val="32"/>
          <w:lang w:bidi="ar-DZ"/>
        </w:rPr>
        <w:t>.</w:t>
      </w:r>
    </w:p>
    <w:p w:rsidR="00AD79C1" w:rsidRPr="0076246C" w:rsidRDefault="00AD79C1" w:rsidP="00D26558">
      <w:pPr>
        <w:bidi/>
        <w:jc w:val="both"/>
        <w:rPr>
          <w:rFonts w:ascii="Traditional Arabic" w:hAnsi="Traditional Arabic" w:cs="Traditional Arabic"/>
          <w:sz w:val="32"/>
          <w:szCs w:val="32"/>
          <w:rtl/>
          <w:lang w:bidi="ar-DZ"/>
        </w:rPr>
      </w:pPr>
      <w:r w:rsidRPr="0076246C">
        <w:rPr>
          <w:rFonts w:ascii="Traditional Arabic" w:hAnsi="Traditional Arabic" w:cs="Traditional Arabic"/>
          <w:sz w:val="32"/>
          <w:szCs w:val="32"/>
          <w:rtl/>
          <w:lang w:bidi="ar-DZ"/>
        </w:rPr>
        <w:t xml:space="preserve">كما يرى الفارابي أن المعرفة الحاصلة عن طريق القوة </w:t>
      </w:r>
      <w:proofErr w:type="gramStart"/>
      <w:r w:rsidRPr="0076246C">
        <w:rPr>
          <w:rFonts w:ascii="Traditional Arabic" w:hAnsi="Traditional Arabic" w:cs="Traditional Arabic"/>
          <w:sz w:val="32"/>
          <w:szCs w:val="32"/>
          <w:rtl/>
          <w:lang w:bidi="ar-DZ"/>
        </w:rPr>
        <w:t>الناطقة,</w:t>
      </w:r>
      <w:proofErr w:type="gramEnd"/>
      <w:r w:rsidRPr="0076246C">
        <w:rPr>
          <w:rFonts w:ascii="Traditional Arabic" w:hAnsi="Traditional Arabic" w:cs="Traditional Arabic"/>
          <w:sz w:val="32"/>
          <w:szCs w:val="32"/>
          <w:rtl/>
          <w:lang w:bidi="ar-DZ"/>
        </w:rPr>
        <w:t xml:space="preserve"> أي معرفة الفيلسوف, هي أعلى من معرفة المخيلة ومن المعرفة الحسية كليهما. أي ان الفارابي يضع الفيلسوف فوق النبي من حيث المعرفة. بل من حيث الكمال البشري أيضا. فالفارابي يرى ان كمال الإنسان وسعادته منوطان بالمعرفة التي تؤديها القوة الناطقة أي </w:t>
      </w:r>
      <w:proofErr w:type="gramStart"/>
      <w:r w:rsidRPr="0076246C">
        <w:rPr>
          <w:rFonts w:ascii="Traditional Arabic" w:hAnsi="Traditional Arabic" w:cs="Traditional Arabic"/>
          <w:sz w:val="32"/>
          <w:szCs w:val="32"/>
          <w:rtl/>
          <w:lang w:bidi="ar-DZ"/>
        </w:rPr>
        <w:t>الفلسفة,</w:t>
      </w:r>
      <w:proofErr w:type="gramEnd"/>
      <w:r w:rsidRPr="0076246C">
        <w:rPr>
          <w:rFonts w:ascii="Traditional Arabic" w:hAnsi="Traditional Arabic" w:cs="Traditional Arabic"/>
          <w:sz w:val="32"/>
          <w:szCs w:val="32"/>
          <w:rtl/>
          <w:lang w:bidi="ar-DZ"/>
        </w:rPr>
        <w:t xml:space="preserve"> لا في المعرفة التي تؤديها المتخيلة, أي معرفة النبي, أي الشريعة. </w:t>
      </w:r>
      <w:proofErr w:type="gramStart"/>
      <w:r w:rsidRPr="0076246C">
        <w:rPr>
          <w:rFonts w:ascii="Traditional Arabic" w:hAnsi="Traditional Arabic" w:cs="Traditional Arabic"/>
          <w:sz w:val="32"/>
          <w:szCs w:val="32"/>
          <w:rtl/>
          <w:lang w:bidi="ar-DZ"/>
        </w:rPr>
        <w:t>( إذن</w:t>
      </w:r>
      <w:proofErr w:type="gramEnd"/>
      <w:r w:rsidRPr="0076246C">
        <w:rPr>
          <w:rFonts w:ascii="Traditional Arabic" w:hAnsi="Traditional Arabic" w:cs="Traditional Arabic"/>
          <w:sz w:val="32"/>
          <w:szCs w:val="32"/>
          <w:rtl/>
          <w:lang w:bidi="ar-DZ"/>
        </w:rPr>
        <w:t xml:space="preserve"> فهو يرى إخضاع الشريعة للفلسفة وليس العكس)</w:t>
      </w:r>
      <w:r w:rsidRPr="0076246C">
        <w:rPr>
          <w:rFonts w:ascii="Traditional Arabic" w:hAnsi="Traditional Arabic" w:cs="Traditional Arabic"/>
          <w:sz w:val="32"/>
          <w:szCs w:val="32"/>
          <w:lang w:bidi="ar-DZ"/>
        </w:rPr>
        <w:t>.</w:t>
      </w:r>
    </w:p>
    <w:p w:rsidR="00AD79C1" w:rsidRPr="00450252" w:rsidRDefault="00D26558" w:rsidP="00D26558">
      <w:pPr>
        <w:bidi/>
        <w:jc w:val="both"/>
        <w:rPr>
          <w:rFonts w:ascii="Traditional Arabic" w:hAnsi="Traditional Arabic" w:cs="Traditional Arabic"/>
          <w:b/>
          <w:bCs/>
          <w:sz w:val="32"/>
          <w:szCs w:val="32"/>
          <w:u w:val="single"/>
          <w:rtl/>
          <w:lang w:bidi="ar-DZ"/>
        </w:rPr>
      </w:pPr>
      <w:r w:rsidRPr="00450252">
        <w:rPr>
          <w:rFonts w:ascii="Traditional Arabic" w:hAnsi="Traditional Arabic" w:cs="Traditional Arabic"/>
          <w:b/>
          <w:bCs/>
          <w:sz w:val="32"/>
          <w:szCs w:val="32"/>
          <w:u w:val="single"/>
          <w:rtl/>
          <w:lang w:bidi="ar-DZ"/>
        </w:rPr>
        <w:t>ابن سينا</w:t>
      </w:r>
    </w:p>
    <w:p w:rsidR="00AD79C1" w:rsidRPr="0076246C" w:rsidRDefault="00AD79C1" w:rsidP="00D26558">
      <w:pPr>
        <w:bidi/>
        <w:jc w:val="both"/>
        <w:rPr>
          <w:rFonts w:ascii="Traditional Arabic" w:hAnsi="Traditional Arabic" w:cs="Traditional Arabic"/>
          <w:sz w:val="32"/>
          <w:szCs w:val="32"/>
          <w:rtl/>
          <w:lang w:bidi="ar-DZ"/>
        </w:rPr>
      </w:pPr>
      <w:r w:rsidRPr="0076246C">
        <w:rPr>
          <w:rFonts w:ascii="Traditional Arabic" w:hAnsi="Traditional Arabic" w:cs="Traditional Arabic"/>
          <w:sz w:val="32"/>
          <w:szCs w:val="32"/>
          <w:rtl/>
          <w:lang w:bidi="ar-DZ"/>
        </w:rPr>
        <w:t xml:space="preserve">لا يختلف ابن سينا عن الفارابي في هذه المسالة. فكلاهما يعتبران النبوة والوحي من أشكال المعرفة البشرية تصدر عن درجة رفيعة من درجات الإدراك </w:t>
      </w:r>
      <w:proofErr w:type="gramStart"/>
      <w:r w:rsidRPr="0076246C">
        <w:rPr>
          <w:rFonts w:ascii="Traditional Arabic" w:hAnsi="Traditional Arabic" w:cs="Traditional Arabic"/>
          <w:sz w:val="32"/>
          <w:szCs w:val="32"/>
          <w:rtl/>
          <w:lang w:bidi="ar-DZ"/>
        </w:rPr>
        <w:t>البشري,</w:t>
      </w:r>
      <w:proofErr w:type="gramEnd"/>
      <w:r w:rsidRPr="0076246C">
        <w:rPr>
          <w:rFonts w:ascii="Traditional Arabic" w:hAnsi="Traditional Arabic" w:cs="Traditional Arabic"/>
          <w:sz w:val="32"/>
          <w:szCs w:val="32"/>
          <w:rtl/>
          <w:lang w:bidi="ar-DZ"/>
        </w:rPr>
        <w:t xml:space="preserve"> وترتبط بالأساس المشترك للمعرفة عند كل إنسان</w:t>
      </w:r>
      <w:r w:rsidRPr="0076246C">
        <w:rPr>
          <w:rFonts w:ascii="Traditional Arabic" w:hAnsi="Traditional Arabic" w:cs="Traditional Arabic"/>
          <w:sz w:val="32"/>
          <w:szCs w:val="32"/>
          <w:lang w:bidi="ar-DZ"/>
        </w:rPr>
        <w:t>.</w:t>
      </w:r>
    </w:p>
    <w:p w:rsidR="00AD79C1" w:rsidRPr="0076246C" w:rsidRDefault="00AD79C1" w:rsidP="004D3CCF">
      <w:pPr>
        <w:bidi/>
        <w:jc w:val="both"/>
        <w:rPr>
          <w:rFonts w:ascii="Traditional Arabic" w:hAnsi="Traditional Arabic" w:cs="Traditional Arabic"/>
          <w:sz w:val="32"/>
          <w:szCs w:val="32"/>
          <w:rtl/>
          <w:lang w:bidi="ar-DZ"/>
        </w:rPr>
      </w:pPr>
      <w:r w:rsidRPr="0076246C">
        <w:rPr>
          <w:rFonts w:ascii="Traditional Arabic" w:hAnsi="Traditional Arabic" w:cs="Traditional Arabic"/>
          <w:sz w:val="32"/>
          <w:szCs w:val="32"/>
          <w:rtl/>
          <w:lang w:bidi="ar-DZ"/>
        </w:rPr>
        <w:t xml:space="preserve">وابن سينا كالفارابي يرجع بلوغ مرتبة النبوة إلى (المتخيلة) أي القوة الادراكية الباطنة الموجودة عند كل إنسان ولكن استخدامها وقوتها تختلف من شخص لآخر. وهذا يعني ان مفهوم النبوة في الفلسفة </w:t>
      </w:r>
      <w:proofErr w:type="spellStart"/>
      <w:r w:rsidRPr="0076246C">
        <w:rPr>
          <w:rFonts w:ascii="Traditional Arabic" w:hAnsi="Traditional Arabic" w:cs="Traditional Arabic"/>
          <w:sz w:val="32"/>
          <w:szCs w:val="32"/>
          <w:rtl/>
          <w:lang w:bidi="ar-DZ"/>
        </w:rPr>
        <w:t>السينوية</w:t>
      </w:r>
      <w:proofErr w:type="spellEnd"/>
      <w:r w:rsidRPr="0076246C">
        <w:rPr>
          <w:rFonts w:ascii="Traditional Arabic" w:hAnsi="Traditional Arabic" w:cs="Traditional Arabic"/>
          <w:sz w:val="32"/>
          <w:szCs w:val="32"/>
          <w:rtl/>
          <w:lang w:bidi="ar-DZ"/>
        </w:rPr>
        <w:t xml:space="preserve"> يختلف ايضا عن مفهومها الإسلامي العام</w:t>
      </w:r>
      <w:r w:rsidRPr="0076246C">
        <w:rPr>
          <w:rFonts w:ascii="Traditional Arabic" w:hAnsi="Traditional Arabic" w:cs="Traditional Arabic"/>
          <w:sz w:val="32"/>
          <w:szCs w:val="32"/>
          <w:lang w:bidi="ar-DZ"/>
        </w:rPr>
        <w:t>.</w:t>
      </w:r>
    </w:p>
    <w:p w:rsidR="00AD79C1" w:rsidRPr="0076246C" w:rsidRDefault="00AD79C1" w:rsidP="00AC7EFC">
      <w:pPr>
        <w:bidi/>
        <w:jc w:val="both"/>
        <w:rPr>
          <w:rFonts w:ascii="Traditional Arabic" w:hAnsi="Traditional Arabic" w:cs="Traditional Arabic"/>
          <w:b/>
          <w:bCs/>
          <w:sz w:val="32"/>
          <w:szCs w:val="32"/>
          <w:rtl/>
          <w:lang w:bidi="ar-DZ"/>
        </w:rPr>
      </w:pPr>
      <w:r w:rsidRPr="00450252">
        <w:rPr>
          <w:rFonts w:ascii="Traditional Arabic" w:hAnsi="Traditional Arabic" w:cs="Traditional Arabic"/>
          <w:b/>
          <w:bCs/>
          <w:sz w:val="32"/>
          <w:szCs w:val="32"/>
          <w:u w:val="single"/>
          <w:rtl/>
          <w:lang w:bidi="ar-DZ"/>
        </w:rPr>
        <w:t>أبو بكر الرازي</w:t>
      </w:r>
      <w:r w:rsidRPr="0076246C">
        <w:rPr>
          <w:rFonts w:ascii="Traditional Arabic" w:hAnsi="Traditional Arabic" w:cs="Traditional Arabic"/>
          <w:b/>
          <w:bCs/>
          <w:sz w:val="32"/>
          <w:szCs w:val="32"/>
          <w:lang w:bidi="ar-DZ"/>
        </w:rPr>
        <w:t>:</w:t>
      </w:r>
      <w:r w:rsidR="00AC7EFC" w:rsidRPr="0076246C">
        <w:rPr>
          <w:rFonts w:ascii="Traditional Arabic" w:hAnsi="Traditional Arabic" w:cs="Traditional Arabic" w:hint="cs"/>
          <w:b/>
          <w:bCs/>
          <w:sz w:val="32"/>
          <w:szCs w:val="32"/>
          <w:rtl/>
          <w:lang w:bidi="ar-DZ"/>
        </w:rPr>
        <w:t xml:space="preserve"> </w:t>
      </w:r>
      <w:r w:rsidRPr="0076246C">
        <w:rPr>
          <w:rFonts w:ascii="Traditional Arabic" w:hAnsi="Traditional Arabic" w:cs="Traditional Arabic"/>
          <w:sz w:val="32"/>
          <w:szCs w:val="32"/>
          <w:rtl/>
          <w:lang w:bidi="ar-DZ"/>
        </w:rPr>
        <w:t xml:space="preserve">كان لأبي بكر الرازي موقف سلبي من النبي والمعجزات. والرازي وضع فلسفته على أساس من تجاربه العلمية في الطب والكيمياء </w:t>
      </w:r>
      <w:proofErr w:type="gramStart"/>
      <w:r w:rsidRPr="0076246C">
        <w:rPr>
          <w:rFonts w:ascii="Traditional Arabic" w:hAnsi="Traditional Arabic" w:cs="Traditional Arabic"/>
          <w:sz w:val="32"/>
          <w:szCs w:val="32"/>
          <w:rtl/>
          <w:lang w:bidi="ar-DZ"/>
        </w:rPr>
        <w:t>خصوصا,</w:t>
      </w:r>
      <w:proofErr w:type="gramEnd"/>
      <w:r w:rsidRPr="0076246C">
        <w:rPr>
          <w:rFonts w:ascii="Traditional Arabic" w:hAnsi="Traditional Arabic" w:cs="Traditional Arabic"/>
          <w:sz w:val="32"/>
          <w:szCs w:val="32"/>
          <w:rtl/>
          <w:lang w:bidi="ar-DZ"/>
        </w:rPr>
        <w:t xml:space="preserve"> فاتجه اتجاها فلسفيا ماديا حتى وصفه معاصروه بالملحد</w:t>
      </w:r>
      <w:r w:rsidRPr="0076246C">
        <w:rPr>
          <w:rFonts w:ascii="Traditional Arabic" w:hAnsi="Traditional Arabic" w:cs="Traditional Arabic"/>
          <w:sz w:val="32"/>
          <w:szCs w:val="32"/>
          <w:lang w:bidi="ar-DZ"/>
        </w:rPr>
        <w:t>.</w:t>
      </w:r>
    </w:p>
    <w:p w:rsidR="00AD79C1" w:rsidRPr="0076246C" w:rsidRDefault="004D3CCF" w:rsidP="004D3CCF">
      <w:pPr>
        <w:bidi/>
        <w:jc w:val="both"/>
        <w:rPr>
          <w:rFonts w:ascii="Traditional Arabic" w:hAnsi="Traditional Arabic" w:cs="Traditional Arabic"/>
          <w:b/>
          <w:bCs/>
          <w:sz w:val="32"/>
          <w:szCs w:val="32"/>
          <w:rtl/>
          <w:lang w:bidi="ar-DZ"/>
        </w:rPr>
      </w:pPr>
      <w:proofErr w:type="spellStart"/>
      <w:proofErr w:type="gramStart"/>
      <w:r w:rsidRPr="0076246C">
        <w:rPr>
          <w:rFonts w:ascii="Traditional Arabic" w:hAnsi="Traditional Arabic" w:cs="Traditional Arabic"/>
          <w:b/>
          <w:bCs/>
          <w:sz w:val="32"/>
          <w:szCs w:val="32"/>
          <w:rtl/>
          <w:lang w:bidi="ar-DZ"/>
        </w:rPr>
        <w:lastRenderedPageBreak/>
        <w:t>السهروردي</w:t>
      </w:r>
      <w:r w:rsidRPr="0076246C">
        <w:rPr>
          <w:rFonts w:ascii="Traditional Arabic" w:hAnsi="Traditional Arabic" w:cs="Traditional Arabic" w:hint="cs"/>
          <w:b/>
          <w:bCs/>
          <w:sz w:val="32"/>
          <w:szCs w:val="32"/>
          <w:rtl/>
          <w:lang w:bidi="ar-DZ"/>
        </w:rPr>
        <w:t>:</w:t>
      </w:r>
      <w:r w:rsidR="00AD79C1" w:rsidRPr="0076246C">
        <w:rPr>
          <w:rFonts w:ascii="Traditional Arabic" w:hAnsi="Traditional Arabic" w:cs="Traditional Arabic"/>
          <w:sz w:val="32"/>
          <w:szCs w:val="32"/>
          <w:rtl/>
          <w:lang w:bidi="ar-DZ"/>
        </w:rPr>
        <w:t>تقوم</w:t>
      </w:r>
      <w:proofErr w:type="spellEnd"/>
      <w:proofErr w:type="gramEnd"/>
      <w:r w:rsidR="00AD79C1" w:rsidRPr="0076246C">
        <w:rPr>
          <w:rFonts w:ascii="Traditional Arabic" w:hAnsi="Traditional Arabic" w:cs="Traditional Arabic"/>
          <w:sz w:val="32"/>
          <w:szCs w:val="32"/>
          <w:rtl/>
          <w:lang w:bidi="ar-DZ"/>
        </w:rPr>
        <w:t xml:space="preserve"> المعرفة عند </w:t>
      </w:r>
      <w:proofErr w:type="spellStart"/>
      <w:r w:rsidR="00AD79C1" w:rsidRPr="0076246C">
        <w:rPr>
          <w:rFonts w:ascii="Traditional Arabic" w:hAnsi="Traditional Arabic" w:cs="Traditional Arabic"/>
          <w:sz w:val="32"/>
          <w:szCs w:val="32"/>
          <w:rtl/>
          <w:lang w:bidi="ar-DZ"/>
        </w:rPr>
        <w:t>السهروردي</w:t>
      </w:r>
      <w:proofErr w:type="spellEnd"/>
      <w:r w:rsidR="00AD79C1" w:rsidRPr="0076246C">
        <w:rPr>
          <w:rFonts w:ascii="Traditional Arabic" w:hAnsi="Traditional Arabic" w:cs="Traditional Arabic"/>
          <w:sz w:val="32"/>
          <w:szCs w:val="32"/>
          <w:rtl/>
          <w:lang w:bidi="ar-DZ"/>
        </w:rPr>
        <w:t xml:space="preserve"> على الإشراق الغيبي وليس على المعرفة الحسية أو العقلية. ولا مكان للنبوة في نظامه الاشراقي ولم يذكر أي وظيفة للنبي في سلسلة الوسائط الاشراقية بين الله والعالم</w:t>
      </w:r>
      <w:r w:rsidR="00AD79C1" w:rsidRPr="0076246C">
        <w:rPr>
          <w:rFonts w:ascii="Traditional Arabic" w:hAnsi="Traditional Arabic" w:cs="Traditional Arabic"/>
          <w:sz w:val="32"/>
          <w:szCs w:val="32"/>
          <w:lang w:bidi="ar-DZ"/>
        </w:rPr>
        <w:t>.</w:t>
      </w:r>
    </w:p>
    <w:p w:rsidR="00AD79C1" w:rsidRPr="0076246C" w:rsidRDefault="00AD79C1" w:rsidP="00D26558">
      <w:pPr>
        <w:bidi/>
        <w:jc w:val="both"/>
        <w:rPr>
          <w:rFonts w:ascii="Traditional Arabic" w:hAnsi="Traditional Arabic" w:cs="Traditional Arabic"/>
          <w:sz w:val="32"/>
          <w:szCs w:val="32"/>
          <w:rtl/>
          <w:lang w:bidi="ar-DZ"/>
        </w:rPr>
      </w:pPr>
      <w:r w:rsidRPr="0076246C">
        <w:rPr>
          <w:rFonts w:ascii="Traditional Arabic" w:hAnsi="Traditional Arabic" w:cs="Traditional Arabic"/>
          <w:sz w:val="32"/>
          <w:szCs w:val="32"/>
          <w:rtl/>
          <w:lang w:bidi="ar-DZ"/>
        </w:rPr>
        <w:t xml:space="preserve">يتساوى عند </w:t>
      </w:r>
      <w:proofErr w:type="spellStart"/>
      <w:r w:rsidRPr="0076246C">
        <w:rPr>
          <w:rFonts w:ascii="Traditional Arabic" w:hAnsi="Traditional Arabic" w:cs="Traditional Arabic"/>
          <w:sz w:val="32"/>
          <w:szCs w:val="32"/>
          <w:rtl/>
          <w:lang w:bidi="ar-DZ"/>
        </w:rPr>
        <w:t>السهروردي</w:t>
      </w:r>
      <w:proofErr w:type="spellEnd"/>
      <w:r w:rsidRPr="0076246C">
        <w:rPr>
          <w:rFonts w:ascii="Traditional Arabic" w:hAnsi="Traditional Arabic" w:cs="Traditional Arabic"/>
          <w:sz w:val="32"/>
          <w:szCs w:val="32"/>
          <w:rtl/>
          <w:lang w:bidi="ar-DZ"/>
        </w:rPr>
        <w:t xml:space="preserve"> مكان الأنبياء مع مكان الحكماء. فالأنبياء والحكماء عنده هم من وصل إلى أعلى مقامات ومراتب المعرفة. وقد ذكر </w:t>
      </w:r>
      <w:proofErr w:type="spellStart"/>
      <w:r w:rsidRPr="0076246C">
        <w:rPr>
          <w:rFonts w:ascii="Traditional Arabic" w:hAnsi="Traditional Arabic" w:cs="Traditional Arabic"/>
          <w:sz w:val="32"/>
          <w:szCs w:val="32"/>
          <w:rtl/>
          <w:lang w:bidi="ar-DZ"/>
        </w:rPr>
        <w:t>السهروردي</w:t>
      </w:r>
      <w:proofErr w:type="spellEnd"/>
      <w:r w:rsidRPr="0076246C">
        <w:rPr>
          <w:rFonts w:ascii="Traditional Arabic" w:hAnsi="Traditional Arabic" w:cs="Traditional Arabic"/>
          <w:sz w:val="32"/>
          <w:szCs w:val="32"/>
          <w:rtl/>
          <w:lang w:bidi="ar-DZ"/>
        </w:rPr>
        <w:t xml:space="preserve"> أن من القلة الواصلين إلى هذا المقام حكوا ذلك عن أنفسهم وهم: أفلاطون وهرمس وكبار الحكماء </w:t>
      </w:r>
      <w:proofErr w:type="spellStart"/>
      <w:r w:rsidRPr="0076246C">
        <w:rPr>
          <w:rFonts w:ascii="Traditional Arabic" w:hAnsi="Traditional Arabic" w:cs="Traditional Arabic"/>
          <w:sz w:val="32"/>
          <w:szCs w:val="32"/>
          <w:rtl/>
          <w:lang w:bidi="ar-DZ"/>
        </w:rPr>
        <w:t>كأنباذوقليدس</w:t>
      </w:r>
      <w:proofErr w:type="spellEnd"/>
      <w:r w:rsidRPr="0076246C">
        <w:rPr>
          <w:rFonts w:ascii="Traditional Arabic" w:hAnsi="Traditional Arabic" w:cs="Traditional Arabic"/>
          <w:sz w:val="32"/>
          <w:szCs w:val="32"/>
          <w:rtl/>
          <w:lang w:bidi="ar-DZ"/>
        </w:rPr>
        <w:t xml:space="preserve"> وفيثاغورس وصاحب هذه الشريعة (يعني النبي)</w:t>
      </w:r>
      <w:r w:rsidRPr="0076246C">
        <w:rPr>
          <w:rFonts w:ascii="Traditional Arabic" w:hAnsi="Traditional Arabic" w:cs="Traditional Arabic"/>
          <w:sz w:val="32"/>
          <w:szCs w:val="32"/>
          <w:lang w:bidi="ar-DZ"/>
        </w:rPr>
        <w:t>.</w:t>
      </w:r>
    </w:p>
    <w:p w:rsidR="00AD79C1" w:rsidRPr="0076246C" w:rsidRDefault="00AD79C1" w:rsidP="004D3CCF">
      <w:pPr>
        <w:bidi/>
        <w:jc w:val="both"/>
        <w:rPr>
          <w:rFonts w:ascii="Traditional Arabic" w:hAnsi="Traditional Arabic" w:cs="Traditional Arabic"/>
          <w:sz w:val="32"/>
          <w:szCs w:val="32"/>
          <w:rtl/>
          <w:lang w:bidi="ar-DZ"/>
        </w:rPr>
      </w:pPr>
      <w:r w:rsidRPr="0076246C">
        <w:rPr>
          <w:rFonts w:ascii="Traditional Arabic" w:hAnsi="Traditional Arabic" w:cs="Traditional Arabic"/>
          <w:sz w:val="32"/>
          <w:szCs w:val="32"/>
          <w:rtl/>
          <w:lang w:bidi="ar-DZ"/>
        </w:rPr>
        <w:t>فصاحب الشريعة لا يزيد عن كونه واحدا ممن حكوا عن أنفسهم إنهم وصلوا إلى ذلك المقام ولا يتميز عنهم بشيء</w:t>
      </w:r>
      <w:r w:rsidRPr="0076246C">
        <w:rPr>
          <w:rFonts w:ascii="Traditional Arabic" w:hAnsi="Traditional Arabic" w:cs="Traditional Arabic"/>
          <w:sz w:val="32"/>
          <w:szCs w:val="32"/>
          <w:lang w:bidi="ar-DZ"/>
        </w:rPr>
        <w:t>.</w:t>
      </w:r>
    </w:p>
    <w:p w:rsidR="00342394" w:rsidRPr="0076246C" w:rsidRDefault="00AD79C1" w:rsidP="004D3CCF">
      <w:pPr>
        <w:bidi/>
        <w:jc w:val="both"/>
        <w:rPr>
          <w:rFonts w:ascii="Traditional Arabic" w:hAnsi="Traditional Arabic" w:cs="Traditional Arabic"/>
          <w:sz w:val="32"/>
          <w:szCs w:val="32"/>
          <w:rtl/>
          <w:lang w:bidi="ar-DZ"/>
        </w:rPr>
      </w:pPr>
      <w:r w:rsidRPr="0076246C">
        <w:rPr>
          <w:rFonts w:ascii="Traditional Arabic" w:hAnsi="Traditional Arabic" w:cs="Traditional Arabic"/>
          <w:sz w:val="32"/>
          <w:szCs w:val="32"/>
          <w:rtl/>
          <w:lang w:bidi="ar-DZ"/>
        </w:rPr>
        <w:t xml:space="preserve">قتل </w:t>
      </w:r>
      <w:proofErr w:type="spellStart"/>
      <w:r w:rsidRPr="0076246C">
        <w:rPr>
          <w:rFonts w:ascii="Traditional Arabic" w:hAnsi="Traditional Arabic" w:cs="Traditional Arabic"/>
          <w:sz w:val="32"/>
          <w:szCs w:val="32"/>
          <w:rtl/>
          <w:lang w:bidi="ar-DZ"/>
        </w:rPr>
        <w:t>السهروردي</w:t>
      </w:r>
      <w:proofErr w:type="spellEnd"/>
      <w:r w:rsidRPr="0076246C">
        <w:rPr>
          <w:rFonts w:ascii="Traditional Arabic" w:hAnsi="Traditional Arabic" w:cs="Traditional Arabic"/>
          <w:sz w:val="32"/>
          <w:szCs w:val="32"/>
          <w:rtl/>
          <w:lang w:bidi="ar-DZ"/>
        </w:rPr>
        <w:t xml:space="preserve"> بعد أن حوكم كم قبل الفقهاء الذين وجهوا إليه تهمة القول في مؤلفاته بأن الله قادر على أن يخلق نبيا بعد محمد ولم ينكر </w:t>
      </w:r>
      <w:proofErr w:type="spellStart"/>
      <w:r w:rsidRPr="0076246C">
        <w:rPr>
          <w:rFonts w:ascii="Traditional Arabic" w:hAnsi="Traditional Arabic" w:cs="Traditional Arabic"/>
          <w:sz w:val="32"/>
          <w:szCs w:val="32"/>
          <w:rtl/>
          <w:lang w:bidi="ar-DZ"/>
        </w:rPr>
        <w:t>السهروردي</w:t>
      </w:r>
      <w:proofErr w:type="spellEnd"/>
      <w:r w:rsidRPr="0076246C">
        <w:rPr>
          <w:rFonts w:ascii="Traditional Arabic" w:hAnsi="Traditional Arabic" w:cs="Traditional Arabic"/>
          <w:sz w:val="32"/>
          <w:szCs w:val="32"/>
          <w:rtl/>
          <w:lang w:bidi="ar-DZ"/>
        </w:rPr>
        <w:t xml:space="preserve"> التهمة. وذلك يعني القول بانتهاء نبوة محمد.</w:t>
      </w:r>
    </w:p>
    <w:p w:rsidR="00342394" w:rsidRDefault="00342394" w:rsidP="00342394">
      <w:pPr>
        <w:bidi/>
        <w:rPr>
          <w:rFonts w:ascii="Traditional Arabic" w:hAnsi="Traditional Arabic" w:cs="Traditional Arabic"/>
          <w:b/>
          <w:bCs/>
          <w:sz w:val="32"/>
          <w:szCs w:val="32"/>
          <w:rtl/>
          <w:lang w:bidi="ar-DZ"/>
        </w:rPr>
      </w:pPr>
      <w:r w:rsidRPr="0076246C">
        <w:rPr>
          <w:rFonts w:ascii="Traditional Arabic" w:hAnsi="Traditional Arabic" w:cs="Traditional Arabic" w:hint="cs"/>
          <w:b/>
          <w:bCs/>
          <w:sz w:val="32"/>
          <w:szCs w:val="32"/>
          <w:rtl/>
          <w:lang w:bidi="ar-DZ"/>
        </w:rPr>
        <w:t>مراجع</w:t>
      </w:r>
    </w:p>
    <w:p w:rsidR="00CD66E8" w:rsidRDefault="00CD66E8" w:rsidP="00CD66E8">
      <w:pPr>
        <w:pStyle w:val="Paragraphedeliste"/>
        <w:numPr>
          <w:ilvl w:val="0"/>
          <w:numId w:val="1"/>
        </w:numPr>
        <w:bidi/>
        <w:rPr>
          <w:rFonts w:ascii="Traditional Arabic" w:hAnsi="Traditional Arabic" w:cs="Traditional Arabic" w:hint="cs"/>
          <w:b/>
          <w:bCs/>
          <w:sz w:val="32"/>
          <w:szCs w:val="32"/>
          <w:lang w:bidi="ar-DZ"/>
        </w:rPr>
      </w:pPr>
      <w:r w:rsidRPr="00CD66E8">
        <w:rPr>
          <w:rFonts w:ascii="Traditional Arabic" w:hAnsi="Traditional Arabic" w:cs="Traditional Arabic"/>
          <w:b/>
          <w:bCs/>
          <w:sz w:val="32"/>
          <w:szCs w:val="32"/>
          <w:rtl/>
          <w:lang w:bidi="ar-DZ"/>
        </w:rPr>
        <w:t xml:space="preserve">النبوة في فكر أوائل فلاسفة </w:t>
      </w:r>
      <w:proofErr w:type="gramStart"/>
      <w:r w:rsidRPr="00CD66E8">
        <w:rPr>
          <w:rFonts w:ascii="Traditional Arabic" w:hAnsi="Traditional Arabic" w:cs="Traditional Arabic"/>
          <w:b/>
          <w:bCs/>
          <w:sz w:val="32"/>
          <w:szCs w:val="32"/>
          <w:rtl/>
          <w:lang w:bidi="ar-DZ"/>
        </w:rPr>
        <w:t>المسلمين :</w:t>
      </w:r>
      <w:proofErr w:type="gramEnd"/>
      <w:r w:rsidRPr="00CD66E8">
        <w:rPr>
          <w:rFonts w:ascii="Traditional Arabic" w:hAnsi="Traditional Arabic" w:cs="Traditional Arabic"/>
          <w:b/>
          <w:bCs/>
          <w:sz w:val="32"/>
          <w:szCs w:val="32"/>
          <w:rtl/>
          <w:lang w:bidi="ar-DZ"/>
        </w:rPr>
        <w:t xml:space="preserve"> الكندي، الفارابي، ابن سينا، ابن رشد المؤلف كردي بني فضل، راجح عبد الحميد سعيد</w:t>
      </w:r>
    </w:p>
    <w:p w:rsidR="00CD66E8" w:rsidRPr="00CD66E8" w:rsidRDefault="00CD66E8" w:rsidP="00CD66E8">
      <w:pPr>
        <w:pStyle w:val="Paragraphedeliste"/>
        <w:numPr>
          <w:ilvl w:val="0"/>
          <w:numId w:val="1"/>
        </w:numPr>
        <w:bidi/>
        <w:rPr>
          <w:rFonts w:ascii="Traditional Arabic" w:hAnsi="Traditional Arabic" w:cs="Traditional Arabic"/>
          <w:b/>
          <w:bCs/>
          <w:sz w:val="32"/>
          <w:szCs w:val="32"/>
          <w:lang w:bidi="ar-DZ"/>
        </w:rPr>
      </w:pPr>
      <w:bookmarkStart w:id="0" w:name="_GoBack"/>
      <w:bookmarkEnd w:id="0"/>
      <w:r w:rsidRPr="00CD66E8">
        <w:rPr>
          <w:rFonts w:ascii="Traditional Arabic" w:hAnsi="Traditional Arabic" w:cs="Traditional Arabic"/>
          <w:b/>
          <w:bCs/>
          <w:sz w:val="32"/>
          <w:szCs w:val="32"/>
          <w:rtl/>
          <w:lang w:bidi="ar-DZ"/>
        </w:rPr>
        <w:t>أبو حاتم الرازي ( ت : سنة 322) في كتابه  ( أعلام النبوة  .</w:t>
      </w:r>
    </w:p>
    <w:p w:rsidR="00873D3F" w:rsidRPr="0076246C" w:rsidRDefault="00873D3F" w:rsidP="00E031B1">
      <w:pPr>
        <w:bidi/>
        <w:rPr>
          <w:rFonts w:ascii="Traditional Arabic" w:hAnsi="Traditional Arabic" w:cs="Traditional Arabic"/>
          <w:sz w:val="32"/>
          <w:szCs w:val="32"/>
          <w:lang w:bidi="ar-DZ"/>
        </w:rPr>
      </w:pPr>
    </w:p>
    <w:sectPr w:rsidR="00873D3F" w:rsidRPr="0076246C">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4EF" w:rsidRDefault="000824EF" w:rsidP="00AC7EFC">
      <w:pPr>
        <w:spacing w:after="0" w:line="240" w:lineRule="auto"/>
      </w:pPr>
      <w:r>
        <w:separator/>
      </w:r>
    </w:p>
  </w:endnote>
  <w:endnote w:type="continuationSeparator" w:id="0">
    <w:p w:rsidR="000824EF" w:rsidRDefault="000824EF" w:rsidP="00AC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EFC" w:rsidRDefault="00AC7EFC">
    <w:pPr>
      <w:pStyle w:val="Pieddepage"/>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D66E8" w:rsidRPr="00CD66E8">
      <w:rPr>
        <w:caps/>
        <w:noProof/>
        <w:color w:val="5B9BD5" w:themeColor="accent1"/>
        <w:lang w:val="fr-FR"/>
      </w:rPr>
      <w:t>2</w:t>
    </w:r>
    <w:r>
      <w:rPr>
        <w:caps/>
        <w:color w:val="5B9BD5" w:themeColor="accent1"/>
      </w:rPr>
      <w:fldChar w:fldCharType="end"/>
    </w:r>
  </w:p>
  <w:p w:rsidR="00AC7EFC" w:rsidRDefault="00AC7E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4EF" w:rsidRDefault="000824EF" w:rsidP="00AC7EFC">
      <w:pPr>
        <w:spacing w:after="0" w:line="240" w:lineRule="auto"/>
      </w:pPr>
      <w:r>
        <w:separator/>
      </w:r>
    </w:p>
  </w:footnote>
  <w:footnote w:type="continuationSeparator" w:id="0">
    <w:p w:rsidR="000824EF" w:rsidRDefault="000824EF" w:rsidP="00AC7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216576"/>
    <w:multiLevelType w:val="hybridMultilevel"/>
    <w:tmpl w:val="6E10F112"/>
    <w:lvl w:ilvl="0" w:tplc="C84A53B8">
      <w:start w:val="1"/>
      <w:numFmt w:val="bullet"/>
      <w:lvlText w:val="-"/>
      <w:lvlJc w:val="left"/>
      <w:pPr>
        <w:ind w:left="720" w:hanging="360"/>
      </w:pPr>
      <w:rPr>
        <w:rFonts w:ascii="Traditional Arabic" w:eastAsia="Times New Roman" w:hAnsi="Traditional Arabic"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F7"/>
    <w:rsid w:val="000824EF"/>
    <w:rsid w:val="000F579C"/>
    <w:rsid w:val="00342394"/>
    <w:rsid w:val="00450252"/>
    <w:rsid w:val="004D3CCF"/>
    <w:rsid w:val="0076246C"/>
    <w:rsid w:val="00873D3F"/>
    <w:rsid w:val="009F7955"/>
    <w:rsid w:val="00AC7EFC"/>
    <w:rsid w:val="00AD79C1"/>
    <w:rsid w:val="00CD66E8"/>
    <w:rsid w:val="00CE359F"/>
    <w:rsid w:val="00D26558"/>
    <w:rsid w:val="00E031B1"/>
    <w:rsid w:val="00F65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7FC77-0DC2-48F3-BFF9-66356BB0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E359F"/>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AC7EFC"/>
    <w:pPr>
      <w:tabs>
        <w:tab w:val="center" w:pos="4680"/>
        <w:tab w:val="right" w:pos="9360"/>
      </w:tabs>
      <w:spacing w:after="0" w:line="240" w:lineRule="auto"/>
    </w:pPr>
  </w:style>
  <w:style w:type="character" w:customStyle="1" w:styleId="En-tteCar">
    <w:name w:val="En-tête Car"/>
    <w:basedOn w:val="Policepardfaut"/>
    <w:link w:val="En-tte"/>
    <w:uiPriority w:val="99"/>
    <w:rsid w:val="00AC7EFC"/>
  </w:style>
  <w:style w:type="paragraph" w:styleId="Pieddepage">
    <w:name w:val="footer"/>
    <w:basedOn w:val="Normal"/>
    <w:link w:val="PieddepageCar"/>
    <w:uiPriority w:val="99"/>
    <w:unhideWhenUsed/>
    <w:rsid w:val="00AC7E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C7EFC"/>
  </w:style>
  <w:style w:type="paragraph" w:styleId="Paragraphedeliste">
    <w:name w:val="List Paragraph"/>
    <w:basedOn w:val="Normal"/>
    <w:uiPriority w:val="34"/>
    <w:qFormat/>
    <w:rsid w:val="00CD6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3</Pages>
  <Words>650</Words>
  <Characters>3706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12</cp:revision>
  <dcterms:created xsi:type="dcterms:W3CDTF">2023-11-23T16:04:00Z</dcterms:created>
  <dcterms:modified xsi:type="dcterms:W3CDTF">2023-12-04T09:04:00Z</dcterms:modified>
</cp:coreProperties>
</file>